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lang w:eastAsia="zh-CN"/>
        </w:rPr>
        <w:t>特克斯县阔克铁热克柯尔克孜民族乡寄宿制初级中学</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特克斯县阔克铁热克柯尔克孜民族乡寄宿制初级中学</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填报时间：2022年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3"/>
        <w:spacing w:line="360" w:lineRule="auto"/>
        <w:rPr>
          <w:rFonts w:hint="eastAsia"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bookmarkStart w:id="3" w:name="_Toc70450291"/>
      <w:r>
        <w:rPr>
          <w:rStyle w:val="16"/>
          <w:rFonts w:hint="eastAsia" w:ascii="仿宋" w:hAnsi="仿宋" w:eastAsia="仿宋"/>
          <w:b/>
          <w:bCs/>
        </w:rPr>
        <w:t>（一）部门单位基本情况</w:t>
      </w:r>
      <w:bookmarkEnd w:id="2"/>
    </w:p>
    <w:p>
      <w:pPr>
        <w:pStyle w:val="5"/>
        <w:spacing w:line="360" w:lineRule="auto"/>
        <w:ind w:firstLine="562" w:firstLineChars="200"/>
        <w:rPr>
          <w:rStyle w:val="16"/>
          <w:rFonts w:hint="eastAsia" w:ascii="仿宋" w:hAnsi="仿宋" w:eastAsia="仿宋" w:cstheme="minorBidi"/>
          <w:b/>
          <w:bCs/>
        </w:rPr>
      </w:pPr>
      <w:r>
        <w:rPr>
          <w:rStyle w:val="16"/>
          <w:rFonts w:hint="eastAsia" w:ascii="仿宋" w:hAnsi="仿宋" w:eastAsia="仿宋" w:cstheme="minorBidi"/>
          <w:b/>
          <w:bCs/>
        </w:rPr>
        <w:t>1、主要职能</w:t>
      </w:r>
      <w:bookmarkEnd w:id="3"/>
    </w:p>
    <w:p>
      <w:pPr>
        <w:pStyle w:val="5"/>
        <w:spacing w:line="360" w:lineRule="auto"/>
        <w:ind w:firstLine="560" w:firstLineChars="20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一、认真贯彻落实党的教育方针，积极配合教育行政部门做好教育教学指导回工作。</w:t>
      </w:r>
      <w:r>
        <w:rPr>
          <w:rFonts w:hint="eastAsia" w:ascii="仿宋" w:hAnsi="仿宋" w:eastAsia="仿宋" w:cs="仿宋"/>
          <w:b w:val="0"/>
          <w:bCs w:val="0"/>
          <w:kern w:val="0"/>
          <w:sz w:val="28"/>
          <w:szCs w:val="28"/>
        </w:rPr>
        <w:br w:type="textWrapping"/>
      </w:r>
      <w:r>
        <w:rPr>
          <w:rFonts w:hint="eastAsia" w:ascii="仿宋" w:hAnsi="仿宋" w:eastAsia="仿宋" w:cs="仿宋"/>
          <w:b w:val="0"/>
          <w:bCs w:val="0"/>
          <w:kern w:val="0"/>
          <w:sz w:val="28"/>
          <w:szCs w:val="28"/>
          <w:lang w:val="en-US" w:eastAsia="zh-CN"/>
        </w:rPr>
        <w:tab/>
      </w:r>
      <w:r>
        <w:rPr>
          <w:rFonts w:hint="eastAsia" w:ascii="仿宋" w:hAnsi="仿宋" w:eastAsia="仿宋" w:cs="仿宋"/>
          <w:b w:val="0"/>
          <w:bCs w:val="0"/>
          <w:kern w:val="0"/>
          <w:sz w:val="28"/>
          <w:szCs w:val="28"/>
          <w:lang w:val="en-US" w:eastAsia="zh-CN"/>
        </w:rPr>
        <w:t xml:space="preserve"> </w:t>
      </w:r>
      <w:r>
        <w:rPr>
          <w:rFonts w:hint="eastAsia" w:ascii="仿宋" w:hAnsi="仿宋" w:eastAsia="仿宋" w:cs="仿宋"/>
          <w:b w:val="0"/>
          <w:bCs w:val="0"/>
          <w:kern w:val="0"/>
          <w:sz w:val="28"/>
          <w:szCs w:val="28"/>
        </w:rPr>
        <w:t>二、培养德智体全面发展的社会主义接班人。</w:t>
      </w:r>
      <w:r>
        <w:rPr>
          <w:rFonts w:hint="eastAsia" w:ascii="仿宋" w:hAnsi="仿宋" w:eastAsia="仿宋" w:cs="仿宋"/>
          <w:b w:val="0"/>
          <w:bCs w:val="0"/>
          <w:kern w:val="0"/>
          <w:sz w:val="28"/>
          <w:szCs w:val="28"/>
        </w:rPr>
        <w:br w:type="textWrapping"/>
      </w:r>
      <w:r>
        <w:rPr>
          <w:rFonts w:hint="eastAsia" w:ascii="仿宋" w:hAnsi="仿宋" w:eastAsia="仿宋" w:cs="仿宋"/>
          <w:b w:val="0"/>
          <w:bCs w:val="0"/>
          <w:kern w:val="0"/>
          <w:sz w:val="28"/>
          <w:szCs w:val="28"/>
          <w:lang w:val="en-US" w:eastAsia="zh-CN"/>
        </w:rPr>
        <w:tab/>
      </w:r>
      <w:r>
        <w:rPr>
          <w:rFonts w:hint="eastAsia" w:ascii="仿宋" w:hAnsi="仿宋" w:eastAsia="仿宋" w:cs="仿宋"/>
          <w:b w:val="0"/>
          <w:bCs w:val="0"/>
          <w:kern w:val="0"/>
          <w:sz w:val="28"/>
          <w:szCs w:val="28"/>
          <w:lang w:val="en-US" w:eastAsia="zh-CN"/>
        </w:rPr>
        <w:t xml:space="preserve"> </w:t>
      </w:r>
      <w:r>
        <w:rPr>
          <w:rFonts w:hint="eastAsia" w:ascii="仿宋" w:hAnsi="仿宋" w:eastAsia="仿宋" w:cs="仿宋"/>
          <w:b w:val="0"/>
          <w:bCs w:val="0"/>
          <w:kern w:val="0"/>
          <w:sz w:val="28"/>
          <w:szCs w:val="28"/>
        </w:rPr>
        <w:t>三、坚持以教学为中心，领导教学工作;坚持兼课深入课堂，抓好教学工作。了解教师教学和学生学习情况。指导教导处搞好教学实验和教改工作。积极引导教师进行教育科学研究，不断改进教学方法。</w:t>
      </w:r>
      <w:r>
        <w:rPr>
          <w:rFonts w:hint="eastAsia" w:ascii="仿宋" w:hAnsi="仿宋" w:eastAsia="仿宋" w:cs="仿宋"/>
          <w:b w:val="0"/>
          <w:bCs w:val="0"/>
          <w:kern w:val="0"/>
          <w:sz w:val="28"/>
          <w:szCs w:val="28"/>
        </w:rPr>
        <w:br w:type="textWrapping"/>
      </w:r>
      <w:r>
        <w:rPr>
          <w:rFonts w:hint="eastAsia" w:ascii="仿宋" w:hAnsi="仿宋" w:eastAsia="仿宋" w:cs="仿宋"/>
          <w:b w:val="0"/>
          <w:bCs w:val="0"/>
          <w:kern w:val="0"/>
          <w:sz w:val="28"/>
          <w:szCs w:val="28"/>
          <w:lang w:val="en-US" w:eastAsia="zh-CN"/>
        </w:rPr>
        <w:tab/>
      </w:r>
      <w:r>
        <w:rPr>
          <w:rFonts w:hint="eastAsia" w:ascii="仿宋" w:hAnsi="仿宋" w:eastAsia="仿宋" w:cs="仿宋"/>
          <w:b w:val="0"/>
          <w:bCs w:val="0"/>
          <w:kern w:val="0"/>
          <w:sz w:val="28"/>
          <w:szCs w:val="28"/>
          <w:lang w:val="en-US" w:eastAsia="zh-CN"/>
        </w:rPr>
        <w:t xml:space="preserve"> </w:t>
      </w:r>
      <w:r>
        <w:rPr>
          <w:rFonts w:hint="eastAsia" w:ascii="仿宋" w:hAnsi="仿宋" w:eastAsia="仿宋" w:cs="仿宋"/>
          <w:b w:val="0"/>
          <w:bCs w:val="0"/>
          <w:kern w:val="0"/>
          <w:sz w:val="28"/>
          <w:szCs w:val="28"/>
        </w:rPr>
        <w:t>四、坚持勤俭办学的原则，努力改善办学条件。校长对学校的财产开支认真管理，定时审批和检查，引导后勤人员树立为教学服务、为师生服务的思想，管理好学校的校舍和一切校产、经费，开展勤工俭学活动，搞好创收工作，逐步改善教师的福利待遇，关心职工生活，善于为教职工排忧解难。</w:t>
      </w:r>
      <w:r>
        <w:rPr>
          <w:rFonts w:hint="eastAsia" w:ascii="仿宋" w:hAnsi="仿宋" w:eastAsia="仿宋" w:cs="仿宋"/>
          <w:b w:val="0"/>
          <w:bCs w:val="0"/>
          <w:kern w:val="0"/>
          <w:sz w:val="28"/>
          <w:szCs w:val="28"/>
        </w:rPr>
        <w:br w:type="textWrapping"/>
      </w:r>
      <w:r>
        <w:rPr>
          <w:rFonts w:hint="eastAsia" w:ascii="仿宋" w:hAnsi="仿宋" w:eastAsia="仿宋" w:cs="仿宋"/>
          <w:b w:val="0"/>
          <w:bCs w:val="0"/>
          <w:kern w:val="0"/>
          <w:sz w:val="28"/>
          <w:szCs w:val="28"/>
          <w:lang w:val="en-US" w:eastAsia="zh-CN"/>
        </w:rPr>
        <w:tab/>
      </w:r>
      <w:r>
        <w:rPr>
          <w:rFonts w:hint="eastAsia" w:ascii="仿宋" w:hAnsi="仿宋" w:eastAsia="仿宋" w:cs="仿宋"/>
          <w:b w:val="0"/>
          <w:bCs w:val="0"/>
          <w:kern w:val="0"/>
          <w:sz w:val="28"/>
          <w:szCs w:val="28"/>
          <w:lang w:val="en-US" w:eastAsia="zh-CN"/>
        </w:rPr>
        <w:t xml:space="preserve"> </w:t>
      </w:r>
      <w:r>
        <w:rPr>
          <w:rFonts w:hint="eastAsia" w:ascii="仿宋" w:hAnsi="仿宋" w:eastAsia="仿宋" w:cs="仿宋"/>
          <w:b w:val="0"/>
          <w:bCs w:val="0"/>
          <w:kern w:val="0"/>
          <w:sz w:val="28"/>
          <w:szCs w:val="28"/>
        </w:rPr>
        <w:t xml:space="preserve">五、完成全校交办的其他工作。 </w:t>
      </w:r>
      <w:bookmarkStart w:id="4" w:name="_Toc70450292"/>
    </w:p>
    <w:p>
      <w:pPr>
        <w:keepNext w:val="0"/>
        <w:keepLines w:val="0"/>
        <w:pageBreakBefore w:val="0"/>
        <w:kinsoku/>
        <w:wordWrap/>
        <w:overflowPunct/>
        <w:topLinePunct w:val="0"/>
        <w:autoSpaceDE/>
        <w:autoSpaceDN/>
        <w:bidi w:val="0"/>
        <w:adjustRightInd/>
        <w:snapToGrid/>
        <w:spacing w:line="560" w:lineRule="exact"/>
        <w:ind w:firstLine="537"/>
        <w:jc w:val="left"/>
        <w:textAlignment w:val="auto"/>
        <w:rPr>
          <w:rStyle w:val="16"/>
          <w:rFonts w:ascii="仿宋" w:hAnsi="仿宋" w:eastAsia="仿宋"/>
          <w:b w:val="0"/>
          <w:bCs w:val="0"/>
          <w:sz w:val="28"/>
          <w:szCs w:val="28"/>
        </w:rPr>
      </w:pPr>
      <w:r>
        <w:rPr>
          <w:rStyle w:val="16"/>
          <w:rFonts w:hint="eastAsia" w:ascii="仿宋" w:hAnsi="仿宋" w:eastAsia="仿宋"/>
          <w:b w:val="0"/>
          <w:bCs w:val="0"/>
          <w:sz w:val="28"/>
          <w:szCs w:val="28"/>
        </w:rPr>
        <w:t>2、机构人员构成</w:t>
      </w:r>
      <w:bookmarkEnd w:id="4"/>
    </w:p>
    <w:p>
      <w:pPr>
        <w:spacing w:line="360" w:lineRule="auto"/>
        <w:ind w:firstLine="544" w:firstLineChars="200"/>
        <w:rPr>
          <w:rStyle w:val="16"/>
          <w:rFonts w:hint="eastAsia" w:ascii="仿宋" w:hAnsi="仿宋" w:eastAsia="仿宋" w:cs="仿宋"/>
          <w:b w:val="0"/>
          <w:spacing w:val="-4"/>
          <w:sz w:val="28"/>
          <w:szCs w:val="28"/>
        </w:rPr>
      </w:pPr>
      <w:r>
        <w:rPr>
          <w:rStyle w:val="16"/>
          <w:rFonts w:hint="eastAsia" w:ascii="仿宋" w:hAnsi="仿宋" w:eastAsia="仿宋" w:cs="仿宋"/>
          <w:b w:val="0"/>
          <w:spacing w:val="-4"/>
          <w:sz w:val="28"/>
          <w:szCs w:val="28"/>
        </w:rPr>
        <w:t>（1）组织机构设置：</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eastAsia="zh-CN"/>
        </w:rPr>
        <w:t>特克斯县阔克铁热克柯尔克孜民族乡寄宿制初级中学</w:t>
      </w:r>
      <w:r>
        <w:rPr>
          <w:rFonts w:hint="eastAsia" w:ascii="仿宋" w:hAnsi="仿宋" w:eastAsia="仿宋" w:cs="仿宋"/>
          <w:kern w:val="0"/>
          <w:sz w:val="28"/>
          <w:szCs w:val="28"/>
        </w:rPr>
        <w:t>无下属预算单位，下设7个</w:t>
      </w:r>
      <w:r>
        <w:rPr>
          <w:rFonts w:hint="eastAsia" w:ascii="仿宋" w:hAnsi="仿宋" w:eastAsia="仿宋" w:cs="仿宋"/>
          <w:kern w:val="0"/>
          <w:sz w:val="28"/>
          <w:szCs w:val="28"/>
          <w:lang w:val="en-US" w:eastAsia="zh-CN"/>
        </w:rPr>
        <w:t>处</w:t>
      </w:r>
      <w:r>
        <w:rPr>
          <w:rFonts w:hint="eastAsia" w:ascii="仿宋" w:hAnsi="仿宋" w:eastAsia="仿宋" w:cs="仿宋"/>
          <w:kern w:val="0"/>
          <w:sz w:val="28"/>
          <w:szCs w:val="28"/>
        </w:rPr>
        <w:t>室，分别是：党建办、德育处、教务处、校办、财务室、广播室、总务处。</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Fonts w:hint="eastAsia" w:ascii="仿宋" w:hAnsi="仿宋" w:eastAsia="仿宋" w:cs="仿宋"/>
          <w:kern w:val="0"/>
          <w:sz w:val="28"/>
          <w:szCs w:val="28"/>
          <w:lang w:eastAsia="zh-CN"/>
        </w:rPr>
        <w:t>特克斯县阔克铁热克柯尔克孜民族乡寄宿制初级中学</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282</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事业</w:t>
      </w:r>
      <w:r>
        <w:rPr>
          <w:rStyle w:val="16"/>
          <w:rFonts w:hint="eastAsia" w:ascii="仿宋_GB2312" w:hAnsi="楷体" w:eastAsia="仿宋_GB2312"/>
          <w:b w:val="0"/>
          <w:spacing w:val="-4"/>
          <w:sz w:val="28"/>
          <w:szCs w:val="28"/>
        </w:rPr>
        <w:t xml:space="preserve">在职 </w:t>
      </w:r>
      <w:r>
        <w:rPr>
          <w:rStyle w:val="16"/>
          <w:rFonts w:hint="eastAsia" w:ascii="仿宋_GB2312" w:hAnsi="楷体" w:eastAsia="仿宋_GB2312"/>
          <w:b w:val="0"/>
          <w:spacing w:val="-4"/>
          <w:sz w:val="28"/>
          <w:szCs w:val="28"/>
          <w:lang w:val="en-US" w:eastAsia="zh-CN"/>
        </w:rPr>
        <w:t>282</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303</w:t>
      </w:r>
      <w:r>
        <w:rPr>
          <w:rStyle w:val="16"/>
          <w:rFonts w:hint="eastAsia" w:ascii="仿宋_GB2312" w:hAnsi="楷体" w:eastAsia="仿宋_GB2312"/>
          <w:b w:val="0"/>
          <w:spacing w:val="-4"/>
          <w:sz w:val="28"/>
          <w:szCs w:val="28"/>
        </w:rPr>
        <w:t>人），同比上年</w:t>
      </w:r>
      <w:r>
        <w:rPr>
          <w:rStyle w:val="16"/>
          <w:rFonts w:hint="eastAsia" w:ascii="仿宋_GB2312" w:hAnsi="楷体" w:eastAsia="仿宋_GB2312"/>
          <w:b w:val="0"/>
          <w:color w:val="auto"/>
          <w:spacing w:val="-4"/>
          <w:sz w:val="28"/>
          <w:szCs w:val="28"/>
        </w:rPr>
        <w:t>减少</w:t>
      </w:r>
      <w:r>
        <w:rPr>
          <w:rStyle w:val="16"/>
          <w:rFonts w:hint="eastAsia" w:ascii="仿宋_GB2312" w:hAnsi="楷体" w:eastAsia="仿宋_GB2312"/>
          <w:b w:val="0"/>
          <w:spacing w:val="-4"/>
          <w:sz w:val="28"/>
          <w:szCs w:val="28"/>
          <w:lang w:val="en-US" w:eastAsia="zh-CN"/>
        </w:rPr>
        <w:t>21</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rPr>
        <w:t>同比上年增加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72</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62</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rPr>
        <w:t>同比上年增加</w:t>
      </w:r>
      <w:r>
        <w:rPr>
          <w:rStyle w:val="16"/>
          <w:rFonts w:hint="eastAsia" w:ascii="仿宋_GB2312" w:hAnsi="楷体" w:eastAsia="仿宋_GB2312"/>
          <w:b w:val="0"/>
          <w:color w:val="auto"/>
          <w:spacing w:val="-4"/>
          <w:sz w:val="28"/>
          <w:szCs w:val="28"/>
          <w:lang w:val="en-US" w:eastAsia="zh-CN"/>
        </w:rPr>
        <w:t>10</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bCs w:val="0"/>
          <w:color w:val="auto"/>
          <w:spacing w:val="-4"/>
          <w:sz w:val="28"/>
          <w:szCs w:val="28"/>
        </w:rPr>
      </w:pPr>
      <w:bookmarkStart w:id="6" w:name="_Toc70450294"/>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1</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确保人员经费的合理分配。</w:t>
      </w:r>
    </w:p>
    <w:p>
      <w:pPr>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2</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完成在职教师工资发放、按时完成社保、公积金缴纳。</w:t>
      </w:r>
    </w:p>
    <w:p>
      <w:pPr>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3</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及时完成退休教师取暖费、计生奖励金目发放。</w:t>
      </w:r>
    </w:p>
    <w:p>
      <w:pPr>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4</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完成每年教学任务。</w:t>
      </w:r>
      <w:r>
        <w:rPr>
          <w:rStyle w:val="16"/>
          <w:rFonts w:hint="eastAsia" w:ascii="仿宋_GB2312" w:hAnsi="楷体" w:eastAsia="仿宋_GB2312"/>
          <w:b w:val="0"/>
          <w:bCs w:val="0"/>
          <w:color w:val="auto"/>
          <w:spacing w:val="-4"/>
          <w:sz w:val="28"/>
          <w:szCs w:val="28"/>
          <w:lang w:eastAsia="zh-CN"/>
        </w:rPr>
        <w:t>全</w:t>
      </w:r>
      <w:r>
        <w:rPr>
          <w:rStyle w:val="16"/>
          <w:rFonts w:hint="eastAsia" w:ascii="仿宋_GB2312" w:hAnsi="楷体" w:eastAsia="仿宋_GB2312"/>
          <w:b w:val="0"/>
          <w:bCs w:val="0"/>
          <w:color w:val="auto"/>
          <w:spacing w:val="-4"/>
          <w:sz w:val="28"/>
          <w:szCs w:val="28"/>
        </w:rPr>
        <w:t>面推进各类教师能力提升培训，加强教师队伍建设</w:t>
      </w:r>
      <w:r>
        <w:rPr>
          <w:rStyle w:val="16"/>
          <w:rFonts w:hint="eastAsia" w:ascii="仿宋_GB2312" w:hAnsi="楷体" w:eastAsia="仿宋_GB2312"/>
          <w:b w:val="0"/>
          <w:bCs w:val="0"/>
          <w:color w:val="auto"/>
          <w:spacing w:val="-4"/>
          <w:sz w:val="28"/>
          <w:szCs w:val="28"/>
          <w:lang w:eastAsia="zh-CN"/>
        </w:rPr>
        <w:t>，完成好</w:t>
      </w:r>
      <w:r>
        <w:rPr>
          <w:rStyle w:val="16"/>
          <w:rFonts w:hint="eastAsia" w:ascii="仿宋_GB2312" w:hAnsi="楷体" w:eastAsia="仿宋_GB2312"/>
          <w:b w:val="0"/>
          <w:bCs w:val="0"/>
          <w:color w:val="auto"/>
          <w:spacing w:val="-4"/>
          <w:sz w:val="28"/>
          <w:szCs w:val="28"/>
        </w:rPr>
        <w:t>教育教学管理工作。</w:t>
      </w:r>
    </w:p>
    <w:p>
      <w:pPr>
        <w:spacing w:line="360" w:lineRule="auto"/>
        <w:ind w:firstLine="562" w:firstLineChars="200"/>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default" w:ascii="仿宋_GB2312" w:hAnsi="楷体" w:eastAsia="仿宋_GB2312" w:cs="Times New Roman"/>
          <w:b w:val="0"/>
          <w:bCs w:val="0"/>
          <w:color w:val="auto"/>
          <w:spacing w:val="-4"/>
          <w:sz w:val="28"/>
          <w:szCs w:val="28"/>
          <w:lang w:val="en-US" w:eastAsia="zh-CN"/>
        </w:rPr>
      </w:pPr>
      <w:r>
        <w:rPr>
          <w:rStyle w:val="16"/>
          <w:rFonts w:hint="eastAsia" w:ascii="仿宋_GB2312" w:hAnsi="楷体" w:eastAsia="仿宋_GB2312" w:cs="Times New Roman"/>
          <w:b w:val="0"/>
          <w:bCs w:val="0"/>
          <w:color w:val="auto"/>
          <w:spacing w:val="-4"/>
          <w:sz w:val="28"/>
          <w:szCs w:val="28"/>
        </w:rPr>
        <w:t>2021年批复我</w:t>
      </w:r>
      <w:r>
        <w:rPr>
          <w:rStyle w:val="16"/>
          <w:rFonts w:hint="eastAsia" w:ascii="仿宋_GB2312" w:hAnsi="楷体" w:eastAsia="仿宋_GB2312" w:cs="Times New Roman"/>
          <w:b w:val="0"/>
          <w:bCs w:val="0"/>
          <w:color w:val="auto"/>
          <w:spacing w:val="-4"/>
          <w:sz w:val="28"/>
          <w:szCs w:val="28"/>
          <w:lang w:val="en-US" w:eastAsia="zh-CN"/>
        </w:rPr>
        <w:t>单位</w:t>
      </w:r>
      <w:r>
        <w:rPr>
          <w:rStyle w:val="16"/>
          <w:rFonts w:hint="eastAsia" w:ascii="仿宋_GB2312" w:hAnsi="楷体" w:eastAsia="仿宋_GB2312" w:cs="Times New Roman"/>
          <w:b w:val="0"/>
          <w:bCs w:val="0"/>
          <w:color w:val="auto"/>
          <w:spacing w:val="-4"/>
          <w:sz w:val="28"/>
          <w:szCs w:val="28"/>
        </w:rPr>
        <w:t xml:space="preserve">预算为 </w:t>
      </w:r>
      <w:r>
        <w:rPr>
          <w:rStyle w:val="16"/>
          <w:rFonts w:hint="eastAsia" w:ascii="仿宋_GB2312" w:hAnsi="楷体" w:eastAsia="仿宋_GB2312" w:cs="Times New Roman"/>
          <w:b w:val="0"/>
          <w:bCs w:val="0"/>
          <w:color w:val="auto"/>
          <w:spacing w:val="-4"/>
          <w:sz w:val="28"/>
          <w:szCs w:val="28"/>
          <w:lang w:val="en-US" w:eastAsia="zh-CN"/>
        </w:rPr>
        <w:t>4824.11</w:t>
      </w:r>
      <w:r>
        <w:rPr>
          <w:rStyle w:val="16"/>
          <w:rFonts w:hint="eastAsia" w:ascii="仿宋_GB2312" w:hAnsi="楷体" w:eastAsia="仿宋_GB2312" w:cs="Times New Roman"/>
          <w:b w:val="0"/>
          <w:bCs w:val="0"/>
          <w:color w:val="auto"/>
          <w:spacing w:val="-4"/>
          <w:sz w:val="28"/>
          <w:szCs w:val="28"/>
        </w:rPr>
        <w:t xml:space="preserve">万元，其中：财政拨款为 </w:t>
      </w:r>
      <w:r>
        <w:rPr>
          <w:rStyle w:val="16"/>
          <w:rFonts w:hint="eastAsia" w:ascii="仿宋_GB2312" w:hAnsi="楷体" w:eastAsia="仿宋_GB2312" w:cs="Times New Roman"/>
          <w:b w:val="0"/>
          <w:bCs w:val="0"/>
          <w:color w:val="auto"/>
          <w:spacing w:val="-4"/>
          <w:sz w:val="28"/>
          <w:szCs w:val="28"/>
          <w:lang w:val="en-US" w:eastAsia="zh-CN"/>
        </w:rPr>
        <w:t>4824.11</w:t>
      </w:r>
      <w:r>
        <w:rPr>
          <w:rStyle w:val="16"/>
          <w:rFonts w:hint="eastAsia" w:ascii="仿宋_GB2312" w:hAnsi="楷体" w:eastAsia="仿宋_GB2312" w:cs="Times New Roman"/>
          <w:b w:val="0"/>
          <w:bCs w:val="0"/>
          <w:color w:val="auto"/>
          <w:spacing w:val="-4"/>
          <w:sz w:val="28"/>
          <w:szCs w:val="28"/>
        </w:rPr>
        <w:t>万元</w:t>
      </w:r>
      <w:r>
        <w:rPr>
          <w:rStyle w:val="16"/>
          <w:rFonts w:hint="eastAsia" w:ascii="仿宋_GB2312" w:hAnsi="楷体" w:eastAsia="仿宋_GB2312" w:cs="Times New Roman"/>
          <w:b w:val="0"/>
          <w:bCs w:val="0"/>
          <w:color w:val="auto"/>
          <w:spacing w:val="-4"/>
          <w:sz w:val="28"/>
          <w:szCs w:val="28"/>
          <w:lang w:eastAsia="zh-CN"/>
        </w:rPr>
        <w:t>。</w:t>
      </w:r>
      <w:r>
        <w:rPr>
          <w:rStyle w:val="16"/>
          <w:rFonts w:hint="eastAsia" w:ascii="仿宋_GB2312" w:hAnsi="楷体" w:eastAsia="仿宋_GB2312" w:cs="Times New Roman"/>
          <w:b w:val="0"/>
          <w:bCs w:val="0"/>
          <w:color w:val="auto"/>
          <w:spacing w:val="-4"/>
          <w:sz w:val="28"/>
          <w:szCs w:val="28"/>
        </w:rPr>
        <w:t>年中追加资金</w:t>
      </w:r>
      <w:r>
        <w:rPr>
          <w:rStyle w:val="16"/>
          <w:rFonts w:hint="eastAsia" w:ascii="仿宋_GB2312" w:hAnsi="楷体" w:eastAsia="仿宋_GB2312" w:cs="Times New Roman"/>
          <w:b w:val="0"/>
          <w:bCs w:val="0"/>
          <w:color w:val="auto"/>
          <w:spacing w:val="-4"/>
          <w:sz w:val="28"/>
          <w:szCs w:val="28"/>
          <w:lang w:val="en-US" w:eastAsia="zh-CN"/>
        </w:rPr>
        <w:t>1537.48</w:t>
      </w:r>
      <w:r>
        <w:rPr>
          <w:rStyle w:val="16"/>
          <w:rFonts w:hint="eastAsia" w:ascii="仿宋_GB2312" w:hAnsi="楷体" w:eastAsia="仿宋_GB2312" w:cs="Times New Roman"/>
          <w:b w:val="0"/>
          <w:bCs w:val="0"/>
          <w:color w:val="auto"/>
          <w:spacing w:val="-4"/>
          <w:sz w:val="28"/>
          <w:szCs w:val="28"/>
        </w:rPr>
        <w:t>万元，调整率</w:t>
      </w:r>
      <w:r>
        <w:rPr>
          <w:rStyle w:val="16"/>
          <w:rFonts w:hint="eastAsia" w:ascii="仿宋_GB2312" w:hAnsi="楷体" w:eastAsia="仿宋_GB2312" w:cs="Times New Roman"/>
          <w:b w:val="0"/>
          <w:bCs w:val="0"/>
          <w:color w:val="auto"/>
          <w:spacing w:val="-4"/>
          <w:sz w:val="28"/>
          <w:szCs w:val="28"/>
          <w:lang w:val="en-US" w:eastAsia="zh-CN"/>
        </w:rPr>
        <w:t>46.78</w:t>
      </w:r>
      <w:r>
        <w:rPr>
          <w:rStyle w:val="16"/>
          <w:rFonts w:hint="eastAsia" w:ascii="仿宋_GB2312" w:hAnsi="楷体" w:eastAsia="仿宋_GB2312" w:cs="Times New Roman"/>
          <w:b w:val="0"/>
          <w:bCs w:val="0"/>
          <w:color w:val="auto"/>
          <w:spacing w:val="-4"/>
          <w:sz w:val="28"/>
          <w:szCs w:val="28"/>
        </w:rPr>
        <w:t>%。对比上年</w:t>
      </w:r>
      <w:r>
        <w:rPr>
          <w:rStyle w:val="16"/>
          <w:rFonts w:hint="eastAsia" w:ascii="仿宋_GB2312" w:hAnsi="楷体" w:eastAsia="仿宋_GB2312" w:cs="Times New Roman"/>
          <w:b w:val="0"/>
          <w:bCs w:val="0"/>
          <w:color w:val="auto"/>
          <w:spacing w:val="-4"/>
          <w:sz w:val="28"/>
          <w:szCs w:val="28"/>
          <w:lang w:val="en-US" w:eastAsia="zh-CN"/>
        </w:rPr>
        <w:t>3962.31</w:t>
      </w:r>
      <w:r>
        <w:rPr>
          <w:rStyle w:val="16"/>
          <w:rFonts w:hint="eastAsia" w:ascii="仿宋_GB2312" w:hAnsi="楷体" w:eastAsia="仿宋_GB2312" w:cs="Times New Roman"/>
          <w:b w:val="0"/>
          <w:bCs w:val="0"/>
          <w:color w:val="auto"/>
          <w:spacing w:val="-4"/>
          <w:sz w:val="28"/>
          <w:szCs w:val="28"/>
        </w:rPr>
        <w:t>万元</w:t>
      </w:r>
      <w:r>
        <w:rPr>
          <w:rStyle w:val="16"/>
          <w:rFonts w:hint="eastAsia" w:ascii="仿宋_GB2312" w:hAnsi="楷体" w:eastAsia="仿宋_GB2312" w:cs="Times New Roman"/>
          <w:b w:val="0"/>
          <w:bCs w:val="0"/>
          <w:color w:val="auto"/>
          <w:spacing w:val="-4"/>
          <w:sz w:val="28"/>
          <w:szCs w:val="28"/>
          <w:lang w:eastAsia="zh-CN"/>
        </w:rPr>
        <w:t>，</w:t>
      </w:r>
      <w:r>
        <w:rPr>
          <w:rStyle w:val="16"/>
          <w:rFonts w:hint="eastAsia" w:ascii="仿宋_GB2312" w:hAnsi="楷体" w:eastAsia="仿宋_GB2312" w:cs="Times New Roman"/>
          <w:b w:val="0"/>
          <w:bCs w:val="0"/>
          <w:color w:val="auto"/>
          <w:spacing w:val="-4"/>
          <w:sz w:val="28"/>
          <w:szCs w:val="28"/>
        </w:rPr>
        <w:t>增加</w:t>
      </w:r>
      <w:r>
        <w:rPr>
          <w:rStyle w:val="16"/>
          <w:rFonts w:hint="eastAsia" w:ascii="仿宋_GB2312" w:hAnsi="楷体" w:eastAsia="仿宋_GB2312" w:cs="Times New Roman"/>
          <w:b w:val="0"/>
          <w:bCs w:val="0"/>
          <w:color w:val="auto"/>
          <w:spacing w:val="-4"/>
          <w:sz w:val="28"/>
          <w:szCs w:val="28"/>
          <w:lang w:val="en-US" w:eastAsia="zh-CN"/>
        </w:rPr>
        <w:t xml:space="preserve"> 861.8 </w:t>
      </w:r>
      <w:r>
        <w:rPr>
          <w:rStyle w:val="16"/>
          <w:rFonts w:hint="eastAsia" w:ascii="仿宋_GB2312" w:hAnsi="楷体" w:eastAsia="仿宋_GB2312" w:cs="Times New Roman"/>
          <w:b w:val="0"/>
          <w:bCs w:val="0"/>
          <w:color w:val="auto"/>
          <w:spacing w:val="-4"/>
          <w:sz w:val="28"/>
          <w:szCs w:val="28"/>
        </w:rPr>
        <w:t>万元，上升</w:t>
      </w:r>
      <w:r>
        <w:rPr>
          <w:rStyle w:val="16"/>
          <w:rFonts w:hint="eastAsia" w:ascii="仿宋_GB2312" w:hAnsi="楷体" w:eastAsia="仿宋_GB2312" w:cs="Times New Roman"/>
          <w:b w:val="0"/>
          <w:bCs w:val="0"/>
          <w:color w:val="auto"/>
          <w:spacing w:val="-4"/>
          <w:sz w:val="28"/>
          <w:szCs w:val="28"/>
          <w:lang w:val="en-US" w:eastAsia="zh-CN"/>
        </w:rPr>
        <w:t xml:space="preserve"> 21.75</w:t>
      </w:r>
      <w:r>
        <w:rPr>
          <w:rStyle w:val="16"/>
          <w:rFonts w:hint="eastAsia" w:ascii="仿宋_GB2312" w:hAnsi="楷体" w:eastAsia="仿宋_GB2312" w:cs="Times New Roman"/>
          <w:b w:val="0"/>
          <w:bCs w:val="0"/>
          <w:color w:val="auto"/>
          <w:spacing w:val="-4"/>
          <w:sz w:val="28"/>
          <w:szCs w:val="28"/>
        </w:rPr>
        <w:t>%。</w:t>
      </w:r>
    </w:p>
    <w:p>
      <w:pPr>
        <w:spacing w:line="360" w:lineRule="auto"/>
        <w:ind w:firstLine="544" w:firstLineChars="200"/>
        <w:rPr>
          <w:rStyle w:val="16"/>
          <w:rFonts w:hint="eastAsia" w:ascii="仿宋_GB2312" w:hAnsi="楷体" w:eastAsia="仿宋_GB2312" w:cs="Times New Roman"/>
          <w:b w:val="0"/>
          <w:bCs w:val="0"/>
          <w:color w:val="auto"/>
          <w:spacing w:val="-4"/>
          <w:sz w:val="28"/>
          <w:szCs w:val="28"/>
        </w:rPr>
      </w:pPr>
      <w:r>
        <w:rPr>
          <w:rStyle w:val="16"/>
          <w:rFonts w:hint="eastAsia" w:ascii="仿宋_GB2312" w:hAnsi="楷体" w:eastAsia="仿宋_GB2312" w:cs="Times New Roman"/>
          <w:b w:val="0"/>
          <w:bCs w:val="0"/>
          <w:color w:val="auto"/>
          <w:spacing w:val="-4"/>
          <w:sz w:val="28"/>
          <w:szCs w:val="28"/>
        </w:rPr>
        <w:t xml:space="preserve">2021年实际决算支出 </w:t>
      </w:r>
      <w:r>
        <w:rPr>
          <w:rStyle w:val="16"/>
          <w:rFonts w:hint="eastAsia" w:ascii="仿宋_GB2312" w:hAnsi="楷体" w:eastAsia="仿宋_GB2312" w:cs="Times New Roman"/>
          <w:b w:val="0"/>
          <w:bCs w:val="0"/>
          <w:color w:val="auto"/>
          <w:spacing w:val="-4"/>
          <w:sz w:val="28"/>
          <w:szCs w:val="28"/>
          <w:lang w:val="en-US" w:eastAsia="zh-CN"/>
        </w:rPr>
        <w:t>4824.11</w:t>
      </w:r>
      <w:r>
        <w:rPr>
          <w:rStyle w:val="16"/>
          <w:rFonts w:hint="eastAsia" w:ascii="仿宋_GB2312" w:hAnsi="楷体" w:eastAsia="仿宋_GB2312" w:cs="Times New Roman"/>
          <w:b w:val="0"/>
          <w:bCs w:val="0"/>
          <w:color w:val="auto"/>
          <w:spacing w:val="-4"/>
          <w:sz w:val="28"/>
          <w:szCs w:val="28"/>
        </w:rPr>
        <w:t>万元，执行率</w:t>
      </w:r>
      <w:r>
        <w:rPr>
          <w:rStyle w:val="16"/>
          <w:rFonts w:hint="eastAsia" w:ascii="仿宋_GB2312" w:hAnsi="楷体" w:eastAsia="仿宋_GB2312" w:cs="Times New Roman"/>
          <w:b w:val="0"/>
          <w:bCs w:val="0"/>
          <w:color w:val="auto"/>
          <w:spacing w:val="-4"/>
          <w:sz w:val="28"/>
          <w:szCs w:val="28"/>
          <w:lang w:val="en-US" w:eastAsia="zh-CN"/>
        </w:rPr>
        <w:t>100</w:t>
      </w:r>
      <w:r>
        <w:rPr>
          <w:rStyle w:val="16"/>
          <w:rFonts w:hint="eastAsia" w:ascii="仿宋_GB2312" w:hAnsi="楷体" w:eastAsia="仿宋_GB2312" w:cs="Times New Roman"/>
          <w:b w:val="0"/>
          <w:bCs w:val="0"/>
          <w:color w:val="auto"/>
          <w:spacing w:val="-4"/>
          <w:sz w:val="28"/>
          <w:szCs w:val="28"/>
        </w:rPr>
        <w:t>%，其中：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cs="Times New Roman"/>
          <w:b w:val="0"/>
          <w:bCs w:val="0"/>
          <w:color w:val="auto"/>
          <w:spacing w:val="-4"/>
          <w:sz w:val="28"/>
          <w:szCs w:val="28"/>
        </w:rPr>
        <w:t>基本支出</w:t>
      </w:r>
      <w:r>
        <w:rPr>
          <w:rStyle w:val="16"/>
          <w:rFonts w:hint="eastAsia" w:ascii="仿宋_GB2312" w:hAnsi="楷体" w:eastAsia="仿宋_GB2312" w:cs="Times New Roman"/>
          <w:b w:val="0"/>
          <w:bCs w:val="0"/>
          <w:color w:val="auto"/>
          <w:spacing w:val="-4"/>
          <w:sz w:val="28"/>
          <w:szCs w:val="28"/>
          <w:lang w:val="en-US" w:eastAsia="zh-CN"/>
        </w:rPr>
        <w:t>4824.11</w:t>
      </w:r>
      <w:r>
        <w:rPr>
          <w:rStyle w:val="16"/>
          <w:rFonts w:hint="eastAsia" w:ascii="仿宋_GB2312" w:hAnsi="楷体" w:eastAsia="仿宋_GB2312" w:cs="Times New Roman"/>
          <w:b w:val="0"/>
          <w:bCs w:val="0"/>
          <w:color w:val="auto"/>
          <w:spacing w:val="-4"/>
          <w:sz w:val="28"/>
          <w:szCs w:val="28"/>
        </w:rPr>
        <w:t xml:space="preserve"> 万元，占总支出的</w:t>
      </w:r>
      <w:r>
        <w:rPr>
          <w:rStyle w:val="16"/>
          <w:rFonts w:hint="eastAsia" w:ascii="仿宋_GB2312" w:hAnsi="楷体" w:eastAsia="仿宋_GB2312" w:cs="Times New Roman"/>
          <w:b w:val="0"/>
          <w:bCs w:val="0"/>
          <w:color w:val="auto"/>
          <w:spacing w:val="-4"/>
          <w:sz w:val="28"/>
          <w:szCs w:val="28"/>
          <w:lang w:val="en-US" w:eastAsia="zh-CN"/>
        </w:rPr>
        <w:t>100</w:t>
      </w:r>
      <w:r>
        <w:rPr>
          <w:rStyle w:val="16"/>
          <w:rFonts w:hint="eastAsia" w:ascii="仿宋_GB2312" w:hAnsi="楷体" w:eastAsia="仿宋_GB2312" w:cs="Times New Roman"/>
          <w:b w:val="0"/>
          <w:bCs w:val="0"/>
          <w:color w:val="auto"/>
          <w:spacing w:val="-4"/>
          <w:sz w:val="28"/>
          <w:szCs w:val="28"/>
        </w:rPr>
        <w:t>.</w:t>
      </w:r>
      <w:r>
        <w:rPr>
          <w:rStyle w:val="16"/>
          <w:rFonts w:hint="eastAsia" w:ascii="仿宋_GB2312" w:hAnsi="楷体" w:eastAsia="仿宋_GB2312" w:cs="Times New Roman"/>
          <w:b w:val="0"/>
          <w:bCs w:val="0"/>
          <w:color w:val="auto"/>
          <w:spacing w:val="-4"/>
          <w:sz w:val="28"/>
          <w:szCs w:val="28"/>
          <w:lang w:val="en-US" w:eastAsia="zh-CN"/>
        </w:rPr>
        <w:t>00</w:t>
      </w:r>
      <w:r>
        <w:rPr>
          <w:rStyle w:val="16"/>
          <w:rFonts w:hint="eastAsia" w:ascii="仿宋_GB2312" w:hAnsi="楷体" w:eastAsia="仿宋_GB2312" w:cs="Times New Roman"/>
          <w:b w:val="0"/>
          <w:bCs w:val="0"/>
          <w:color w:val="auto"/>
          <w:spacing w:val="-4"/>
          <w:sz w:val="28"/>
          <w:szCs w:val="28"/>
        </w:rPr>
        <w:t>％，主要用于本</w:t>
      </w:r>
      <w:r>
        <w:rPr>
          <w:rStyle w:val="16"/>
          <w:rFonts w:hint="eastAsia" w:ascii="仿宋_GB2312" w:hAnsi="楷体" w:eastAsia="仿宋_GB2312"/>
          <w:b w:val="0"/>
          <w:color w:val="auto"/>
          <w:spacing w:val="-4"/>
          <w:sz w:val="28"/>
          <w:szCs w:val="28"/>
        </w:rPr>
        <w:t>单位机</w:t>
      </w:r>
      <w:r>
        <w:rPr>
          <w:rStyle w:val="16"/>
          <w:rFonts w:hint="eastAsia" w:ascii="仿宋_GB2312" w:hAnsi="楷体" w:eastAsia="仿宋_GB2312"/>
          <w:b w:val="0"/>
          <w:spacing w:val="-4"/>
          <w:sz w:val="28"/>
          <w:szCs w:val="28"/>
        </w:rPr>
        <w:t>构正常运转、完成日常工作任务而发生的各项支出。其中：工资福利支出</w:t>
      </w:r>
      <w:r>
        <w:rPr>
          <w:rStyle w:val="16"/>
          <w:rFonts w:hint="eastAsia" w:ascii="仿宋_GB2312" w:hAnsi="楷体" w:eastAsia="仿宋_GB2312"/>
          <w:b w:val="0"/>
          <w:spacing w:val="-4"/>
          <w:sz w:val="28"/>
          <w:szCs w:val="28"/>
          <w:lang w:val="en-US" w:eastAsia="zh-CN"/>
        </w:rPr>
        <w:t>4214.89</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476.14</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133.08</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退休费、生活补助</w:t>
      </w:r>
      <w:r>
        <w:rPr>
          <w:rStyle w:val="16"/>
          <w:rFonts w:hint="eastAsia" w:ascii="仿宋_GB2312" w:hAnsi="楷体" w:eastAsia="仿宋_GB2312"/>
          <w:b w:val="0"/>
          <w:spacing w:val="-4"/>
          <w:sz w:val="28"/>
          <w:szCs w:val="28"/>
        </w:rPr>
        <w:t>。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ascii="仿宋_GB2312" w:hAnsi="楷体" w:eastAsia="仿宋_GB2312"/>
          <w:b w:val="0"/>
          <w:spacing w:val="-4"/>
          <w:sz w:val="28"/>
          <w:szCs w:val="28"/>
          <w:highlight w:val="none"/>
        </w:rPr>
      </w:pPr>
      <w:bookmarkStart w:id="9" w:name="_Toc70450296"/>
      <w:r>
        <w:rPr>
          <w:rStyle w:val="16"/>
          <w:rFonts w:hint="eastAsia" w:ascii="仿宋_GB2312" w:hAnsi="楷体" w:eastAsia="仿宋_GB2312"/>
          <w:b w:val="0"/>
          <w:spacing w:val="-4"/>
          <w:sz w:val="28"/>
          <w:szCs w:val="28"/>
          <w:highlight w:val="none"/>
        </w:rPr>
        <w:t>（2）项目支出0万元，占总支出的0％。</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）本年度重点项目支出0万元，重点支出保障率0%。</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（4）本年度我单位无政府采购预算。</w:t>
      </w:r>
    </w:p>
    <w:p>
      <w:pPr>
        <w:pStyle w:val="5"/>
        <w:spacing w:line="360" w:lineRule="auto"/>
        <w:ind w:firstLine="562" w:firstLineChars="200"/>
        <w:rPr>
          <w:rStyle w:val="16"/>
          <w:rFonts w:ascii="仿宋" w:hAnsi="仿宋" w:eastAsia="仿宋" w:cstheme="minorBidi"/>
          <w:b/>
          <w:bCs/>
        </w:rPr>
      </w:pPr>
      <w:r>
        <w:rPr>
          <w:rStyle w:val="16"/>
          <w:rFonts w:ascii="仿宋" w:hAnsi="仿宋" w:eastAsia="仿宋" w:cstheme="minorBidi"/>
          <w:b/>
          <w:bCs/>
        </w:rPr>
        <w:t>2</w:t>
      </w:r>
      <w:r>
        <w:rPr>
          <w:rStyle w:val="16"/>
          <w:rFonts w:hint="eastAsia" w:ascii="仿宋" w:hAnsi="仿宋" w:eastAsia="仿宋" w:cstheme="minorBidi"/>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pageBreakBefore w:val="0"/>
        <w:kinsoku/>
        <w:wordWrap/>
        <w:overflowPunct/>
        <w:topLinePunct w:val="0"/>
        <w:autoSpaceDE/>
        <w:autoSpaceDN/>
        <w:bidi w:val="0"/>
        <w:adjustRightInd/>
        <w:spacing w:line="560" w:lineRule="exact"/>
        <w:ind w:firstLine="560" w:firstLineChars="200"/>
        <w:rPr>
          <w:rStyle w:val="16"/>
          <w:rFonts w:hint="eastAsia" w:ascii="仿宋_GB2312" w:eastAsia="仿宋_GB2312"/>
          <w:b w:val="0"/>
          <w:bCs w:val="0"/>
          <w:sz w:val="28"/>
          <w:szCs w:val="36"/>
          <w:lang w:eastAsia="zh-CN"/>
        </w:rPr>
      </w:pPr>
      <w:r>
        <w:rPr>
          <w:rStyle w:val="16"/>
          <w:rFonts w:hint="eastAsia" w:ascii="仿宋_GB2312" w:eastAsia="仿宋_GB2312"/>
          <w:b w:val="0"/>
          <w:bCs w:val="0"/>
          <w:sz w:val="28"/>
          <w:szCs w:val="36"/>
          <w:lang w:val="en-US" w:eastAsia="zh-CN"/>
        </w:rPr>
        <w:t>(一）</w:t>
      </w:r>
      <w:r>
        <w:rPr>
          <w:rStyle w:val="16"/>
          <w:rFonts w:hint="eastAsia" w:ascii="仿宋_GB2312" w:eastAsia="仿宋_GB2312"/>
          <w:b w:val="0"/>
          <w:bCs w:val="0"/>
          <w:sz w:val="28"/>
          <w:szCs w:val="36"/>
        </w:rPr>
        <w:t>本次</w:t>
      </w:r>
      <w:r>
        <w:rPr>
          <w:rStyle w:val="16"/>
          <w:rFonts w:hint="eastAsia" w:ascii="仿宋_GB2312" w:eastAsia="仿宋_GB2312"/>
          <w:b w:val="0"/>
          <w:bCs w:val="0"/>
          <w:sz w:val="28"/>
          <w:szCs w:val="36"/>
          <w:lang w:eastAsia="zh-CN"/>
        </w:rPr>
        <w:t>单位整体</w:t>
      </w:r>
      <w:r>
        <w:rPr>
          <w:rStyle w:val="16"/>
          <w:rFonts w:hint="eastAsia" w:ascii="仿宋_GB2312" w:eastAsia="仿宋_GB2312"/>
          <w:b w:val="0"/>
          <w:bCs w:val="0"/>
          <w:sz w:val="28"/>
          <w:szCs w:val="36"/>
        </w:rPr>
        <w:t>支出绩效自评采用</w:t>
      </w:r>
      <w:r>
        <w:rPr>
          <w:rStyle w:val="16"/>
          <w:rFonts w:hint="eastAsia" w:ascii="仿宋_GB2312" w:eastAsia="仿宋_GB2312"/>
          <w:b w:val="0"/>
          <w:bCs w:val="0"/>
          <w:sz w:val="28"/>
          <w:szCs w:val="36"/>
          <w:lang w:eastAsia="zh-CN"/>
        </w:rPr>
        <w:t>因素分析法</w:t>
      </w:r>
      <w:r>
        <w:rPr>
          <w:rStyle w:val="16"/>
          <w:rFonts w:hint="eastAsia" w:ascii="仿宋_GB2312" w:eastAsia="仿宋_GB2312"/>
          <w:b w:val="0"/>
          <w:bCs w:val="0"/>
          <w:sz w:val="28"/>
          <w:szCs w:val="36"/>
        </w:rPr>
        <w:t>方法，原因是：</w:t>
      </w:r>
      <w:r>
        <w:rPr>
          <w:rStyle w:val="16"/>
          <w:rFonts w:hint="eastAsia" w:ascii="仿宋_GB2312" w:eastAsia="仿宋_GB2312"/>
          <w:b w:val="0"/>
          <w:bCs w:val="0"/>
          <w:sz w:val="28"/>
          <w:szCs w:val="36"/>
          <w:lang w:val="en-US" w:eastAsia="zh-CN"/>
        </w:rPr>
        <w:t>特克斯县阔克铁热克乡初级中学</w:t>
      </w:r>
      <w:r>
        <w:rPr>
          <w:rStyle w:val="16"/>
          <w:rFonts w:hint="eastAsia" w:ascii="仿宋_GB2312" w:eastAsia="仿宋_GB2312"/>
          <w:b w:val="0"/>
          <w:bCs w:val="0"/>
          <w:sz w:val="28"/>
          <w:szCs w:val="36"/>
          <w:lang w:eastAsia="zh-CN"/>
        </w:rPr>
        <w:t>从数量上确定各因素对分析指标影响方向和影响程度一种方法，运用因素分析法应注意因素关联性、顺序性。</w:t>
      </w:r>
    </w:p>
    <w:p>
      <w:pPr>
        <w:spacing w:line="360" w:lineRule="auto"/>
        <w:ind w:firstLine="280" w:firstLineChars="1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 w:hAnsi="仿宋" w:eastAsia="仿宋" w:cs="仿宋"/>
          <w:kern w:val="0"/>
          <w:sz w:val="28"/>
          <w:szCs w:val="28"/>
          <w:lang w:eastAsia="zh-CN"/>
        </w:rPr>
        <w:t>特克斯县阔克铁热克柯尔克孜民族乡寄宿制初级中学</w:t>
      </w:r>
      <w:r>
        <w:rPr>
          <w:rFonts w:hint="eastAsia" w:ascii="仿宋_GB2312" w:eastAsia="仿宋_GB2312"/>
          <w:sz w:val="28"/>
          <w:szCs w:val="36"/>
        </w:rPr>
        <w:t>所有财政资金支出活动。</w:t>
      </w:r>
    </w:p>
    <w:p>
      <w:pPr>
        <w:spacing w:line="360" w:lineRule="auto"/>
        <w:ind w:firstLine="840" w:firstLineChars="3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816" w:firstLineChars="3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4824.11</w:t>
      </w:r>
      <w:r>
        <w:rPr>
          <w:rStyle w:val="16"/>
          <w:rFonts w:hint="eastAsia" w:ascii="仿宋_GB2312" w:hAnsi="楷体" w:eastAsia="仿宋_GB2312"/>
          <w:b w:val="0"/>
          <w:spacing w:val="-4"/>
          <w:sz w:val="28"/>
          <w:szCs w:val="28"/>
        </w:rPr>
        <w:t>万元，其中：工资福利支出、商品和服务支出、对个人和家庭的补助支出。</w:t>
      </w:r>
    </w:p>
    <w:p>
      <w:pPr>
        <w:tabs>
          <w:tab w:val="left" w:pos="500"/>
        </w:tabs>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ab/>
      </w: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lang w:eastAsia="zh-CN"/>
        </w:rPr>
        <w:t>项目支出</w:t>
      </w:r>
      <w:r>
        <w:rPr>
          <w:rStyle w:val="16"/>
          <w:rFonts w:hint="eastAsia" w:ascii="仿宋_GB2312" w:hAnsi="楷体" w:eastAsia="仿宋_GB2312"/>
          <w:b w:val="0"/>
          <w:spacing w:val="-4"/>
          <w:sz w:val="28"/>
          <w:szCs w:val="28"/>
          <w:lang w:val="en-US" w:eastAsia="zh-CN"/>
        </w:rPr>
        <w:t>0万元</w:t>
      </w:r>
      <w:r>
        <w:rPr>
          <w:rStyle w:val="16"/>
          <w:rFonts w:hint="eastAsia" w:ascii="仿宋_GB2312" w:hAnsi="楷体" w:eastAsia="仿宋_GB2312"/>
          <w:b w:val="0"/>
          <w:spacing w:val="-4"/>
          <w:sz w:val="28"/>
          <w:szCs w:val="28"/>
          <w:lang w:eastAsia="zh-CN"/>
        </w:rPr>
        <w:t>。</w:t>
      </w:r>
      <w:bookmarkStart w:id="10" w:name="_Toc70450297"/>
    </w:p>
    <w:bookmarkEnd w:id="10"/>
    <w:p>
      <w:pPr>
        <w:pStyle w:val="3"/>
        <w:spacing w:line="360" w:lineRule="auto"/>
        <w:rPr>
          <w:rFonts w:ascii="仿宋" w:hAnsi="仿宋" w:eastAsia="仿宋"/>
          <w:sz w:val="36"/>
          <w:szCs w:val="36"/>
          <w:lang w:bidi="ar"/>
        </w:rPr>
      </w:pPr>
      <w:bookmarkStart w:id="11" w:name="_Toc70450301"/>
      <w:r>
        <w:rPr>
          <w:rFonts w:hint="eastAsia" w:ascii="仿宋" w:hAnsi="仿宋" w:eastAsia="仿宋"/>
          <w:sz w:val="36"/>
          <w:szCs w:val="36"/>
          <w:lang w:bidi="ar"/>
        </w:rPr>
        <w:t>二、部门单位整体支出管理及使用情况</w:t>
      </w:r>
    </w:p>
    <w:p>
      <w:pPr>
        <w:pStyle w:val="4"/>
        <w:spacing w:line="360" w:lineRule="auto"/>
        <w:rPr>
          <w:rStyle w:val="16"/>
          <w:rFonts w:ascii="仿宋" w:hAnsi="仿宋" w:eastAsia="仿宋"/>
          <w:b/>
          <w:bCs/>
        </w:rPr>
      </w:pPr>
      <w:bookmarkStart w:id="12" w:name="_Toc70450298"/>
      <w:r>
        <w:rPr>
          <w:rStyle w:val="16"/>
          <w:rFonts w:hint="eastAsia" w:ascii="仿宋" w:hAnsi="仿宋" w:eastAsia="仿宋"/>
          <w:b/>
          <w:bCs/>
        </w:rPr>
        <w:t>（一）预算管理</w:t>
      </w:r>
      <w:bookmarkEnd w:id="12"/>
    </w:p>
    <w:p>
      <w:pPr>
        <w:pStyle w:val="5"/>
        <w:spacing w:line="360" w:lineRule="auto"/>
        <w:ind w:firstLine="562" w:firstLineChars="200"/>
        <w:rPr>
          <w:rStyle w:val="16"/>
          <w:rFonts w:ascii="仿宋" w:hAnsi="仿宋" w:eastAsia="仿宋"/>
          <w:b/>
          <w:bCs/>
        </w:rPr>
      </w:pPr>
      <w:bookmarkStart w:id="13" w:name="_Toc70450299"/>
      <w:r>
        <w:rPr>
          <w:rStyle w:val="16"/>
          <w:rFonts w:ascii="仿宋" w:hAnsi="仿宋" w:eastAsia="仿宋"/>
          <w:b/>
          <w:bCs/>
        </w:rPr>
        <w:t>1</w:t>
      </w:r>
      <w:r>
        <w:rPr>
          <w:rStyle w:val="16"/>
          <w:rFonts w:hint="eastAsia" w:ascii="仿宋" w:hAnsi="仿宋" w:eastAsia="仿宋"/>
          <w:b/>
          <w:bCs/>
        </w:rPr>
        <w:t>、预算编制管理</w:t>
      </w:r>
      <w:bookmarkEnd w:id="13"/>
    </w:p>
    <w:p>
      <w:pPr>
        <w:spacing w:line="360" w:lineRule="auto"/>
        <w:ind w:firstLine="506" w:firstLineChars="181"/>
        <w:rPr>
          <w:rStyle w:val="16"/>
          <w:rFonts w:hint="eastAsia" w:eastAsia="仿宋_GB2312" w:asciiTheme="minorEastAsia" w:hAnsiTheme="minorEastAsia"/>
          <w:color w:val="FF0000"/>
          <w:spacing w:val="-4"/>
          <w:sz w:val="28"/>
          <w:szCs w:val="28"/>
          <w:lang w:eastAsia="zh-CN"/>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w:t>
      </w:r>
      <w:r>
        <w:rPr>
          <w:rStyle w:val="16"/>
          <w:rFonts w:hint="eastAsia" w:ascii="仿宋_GB2312" w:hAnsi="楷体" w:eastAsia="仿宋_GB2312"/>
          <w:b w:val="0"/>
          <w:spacing w:val="-4"/>
          <w:sz w:val="28"/>
          <w:szCs w:val="28"/>
        </w:rPr>
        <w:t>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p>
    <w:p>
      <w:pPr>
        <w:pStyle w:val="5"/>
        <w:spacing w:line="360" w:lineRule="auto"/>
        <w:ind w:firstLine="562" w:firstLineChars="200"/>
        <w:rPr>
          <w:rStyle w:val="16"/>
          <w:rFonts w:ascii="仿宋" w:hAnsi="仿宋" w:eastAsia="仿宋"/>
          <w:b/>
          <w:bCs/>
        </w:rPr>
      </w:pPr>
      <w:bookmarkStart w:id="14"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4"/>
    </w:p>
    <w:p>
      <w:pPr>
        <w:spacing w:line="360" w:lineRule="auto"/>
        <w:ind w:firstLine="560" w:firstLineChars="200"/>
        <w:rPr>
          <w:rStyle w:val="16"/>
          <w:b w:val="0"/>
          <w:bCs w:val="0"/>
        </w:rPr>
      </w:pPr>
      <w:r>
        <w:rPr>
          <w:rFonts w:hint="eastAsia" w:ascii="仿宋_GB2312" w:eastAsia="仿宋_GB2312"/>
          <w:sz w:val="28"/>
          <w:szCs w:val="36"/>
          <w:lang w:eastAsia="zh-CN"/>
        </w:rPr>
        <w:t>我单位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 w:hAnsi="仿宋" w:eastAsia="仿宋" w:cs="仿宋"/>
          <w:kern w:val="0"/>
          <w:sz w:val="28"/>
          <w:szCs w:val="28"/>
          <w:lang w:eastAsia="zh-CN"/>
        </w:rPr>
        <w:t>特克斯县阔克铁热克柯尔克孜民族乡寄宿制初级中学</w:t>
      </w:r>
      <w:r>
        <w:rPr>
          <w:rFonts w:hint="eastAsia" w:ascii="仿宋_GB2312" w:eastAsia="仿宋_GB2312"/>
          <w:sz w:val="28"/>
          <w:szCs w:val="36"/>
        </w:rPr>
        <w:t>《财务管理制度》相关规定和</w:t>
      </w:r>
      <w:r>
        <w:rPr>
          <w:rFonts w:hint="eastAsia" w:ascii="仿宋" w:hAnsi="仿宋" w:eastAsia="仿宋" w:cs="仿宋"/>
          <w:kern w:val="0"/>
          <w:sz w:val="28"/>
          <w:szCs w:val="28"/>
          <w:lang w:eastAsia="zh-CN"/>
        </w:rPr>
        <w:t>特克斯县阔克铁热克柯尔克孜民族乡寄宿制初级中学</w:t>
      </w:r>
      <w:r>
        <w:rPr>
          <w:rFonts w:hint="eastAsia" w:ascii="仿宋_GB2312" w:eastAsia="仿宋_GB2312"/>
          <w:sz w:val="28"/>
          <w:szCs w:val="36"/>
        </w:rPr>
        <w:t>《财务管理制度》规定流程，资金支出按照我内控体系中设定的流程申报审批进行；项目支出属于政府采购的，按照局</w:t>
      </w:r>
      <w:r>
        <w:rPr>
          <w:rFonts w:hint="eastAsia" w:ascii="仿宋" w:hAnsi="仿宋" w:eastAsia="仿宋" w:cs="仿宋"/>
          <w:kern w:val="0"/>
          <w:sz w:val="28"/>
          <w:szCs w:val="28"/>
          <w:lang w:eastAsia="zh-CN"/>
        </w:rPr>
        <w:t>特克斯县阔克铁热克柯尔克孜民族乡寄宿制初级中学</w:t>
      </w:r>
      <w:r>
        <w:rPr>
          <w:rFonts w:hint="eastAsia" w:ascii="仿宋_GB2312" w:eastAsia="仿宋_GB2312"/>
          <w:sz w:val="28"/>
          <w:szCs w:val="36"/>
        </w:rPr>
        <w:t>《政府采购与招标管理办法》组织人员制定采购计划，按照财政局采购部门批复，进行公开招标、邀请招标等方式进行；属于非政府采购的项目，按照“三重一大”制度规定，重大项目支出上党组会研究决定。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r>
        <w:rPr>
          <w:rStyle w:val="16"/>
          <w:rFonts w:hint="eastAsia"/>
          <w:b/>
          <w:bCs/>
          <w:sz w:val="28"/>
          <w:szCs w:val="28"/>
        </w:rPr>
        <w:t>（二）基本支出管理及使用情况</w:t>
      </w:r>
      <w:bookmarkEnd w:id="11"/>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4824.11</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4824.11</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4824.11</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00</w:t>
      </w:r>
      <w:r>
        <w:rPr>
          <w:rStyle w:val="16"/>
          <w:rFonts w:hint="eastAsia" w:ascii="仿宋_GB2312" w:hAnsi="楷体" w:eastAsia="仿宋_GB2312"/>
          <w:b w:val="0"/>
          <w:spacing w:val="-4"/>
          <w:sz w:val="28"/>
          <w:szCs w:val="28"/>
        </w:rPr>
        <w:t>％，其中：工资福利支出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4214.89</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476.14</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133.08</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本单位</w:t>
      </w:r>
      <w:r>
        <w:rPr>
          <w:rStyle w:val="16"/>
          <w:rFonts w:hint="eastAsia" w:ascii="仿宋_GB2312" w:hAnsi="楷体" w:eastAsia="仿宋_GB2312"/>
          <w:b w:val="0"/>
          <w:spacing w:val="-4"/>
          <w:sz w:val="28"/>
          <w:szCs w:val="28"/>
        </w:rPr>
        <w:t>日</w:t>
      </w:r>
      <w:r>
        <w:rPr>
          <w:rStyle w:val="16"/>
          <w:rFonts w:hint="eastAsia" w:ascii="仿宋_GB2312" w:hAnsi="楷体" w:eastAsia="仿宋_GB2312"/>
          <w:b w:val="0"/>
          <w:spacing w:val="-4"/>
          <w:sz w:val="28"/>
          <w:szCs w:val="28"/>
          <w:lang w:val="en-US" w:eastAsia="zh-CN"/>
        </w:rPr>
        <w:t>常工作运转开</w:t>
      </w:r>
      <w:r>
        <w:rPr>
          <w:rStyle w:val="16"/>
          <w:rFonts w:hint="eastAsia" w:ascii="仿宋_GB2312" w:hAnsi="楷体" w:eastAsia="仿宋_GB2312"/>
          <w:b w:val="0"/>
          <w:spacing w:val="-4"/>
          <w:sz w:val="28"/>
          <w:szCs w:val="28"/>
        </w:rPr>
        <w:t>支,包括人员的工资福利支出、商品和服务支出、对个人和家庭的补助支出。资本性支出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2021年基本支出比上年</w:t>
      </w:r>
      <w:r>
        <w:rPr>
          <w:rStyle w:val="16"/>
          <w:rFonts w:hint="eastAsia" w:ascii="仿宋_GB2312" w:hAnsi="楷体" w:eastAsia="仿宋_GB2312"/>
          <w:b w:val="0"/>
          <w:spacing w:val="-4"/>
          <w:sz w:val="28"/>
          <w:szCs w:val="28"/>
          <w:highlight w:val="none"/>
          <w:lang w:val="en-US" w:eastAsia="zh-CN"/>
        </w:rPr>
        <w:t>3962.31万元，</w:t>
      </w:r>
      <w:r>
        <w:rPr>
          <w:rStyle w:val="16"/>
          <w:rFonts w:hint="eastAsia" w:ascii="仿宋_GB2312" w:hAnsi="楷体" w:eastAsia="仿宋_GB2312"/>
          <w:b w:val="0"/>
          <w:spacing w:val="-4"/>
          <w:sz w:val="28"/>
          <w:szCs w:val="28"/>
          <w:highlight w:val="none"/>
        </w:rPr>
        <w:t>增加</w:t>
      </w:r>
      <w:r>
        <w:rPr>
          <w:rStyle w:val="16"/>
          <w:rFonts w:hint="eastAsia" w:ascii="仿宋_GB2312" w:hAnsi="楷体" w:eastAsia="仿宋_GB2312"/>
          <w:b w:val="0"/>
          <w:spacing w:val="-4"/>
          <w:sz w:val="28"/>
          <w:szCs w:val="28"/>
          <w:highlight w:val="none"/>
          <w:lang w:val="en-US" w:eastAsia="zh-CN"/>
        </w:rPr>
        <w:t>861.8</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21.75</w:t>
      </w:r>
      <w:r>
        <w:rPr>
          <w:rStyle w:val="16"/>
          <w:rFonts w:ascii="仿宋_GB2312" w:hAnsi="宋体" w:eastAsia="仿宋_GB2312"/>
          <w:b w:val="0"/>
          <w:bCs w:val="0"/>
          <w:spacing w:val="-4"/>
          <w:sz w:val="28"/>
          <w:szCs w:val="28"/>
          <w:highlight w:val="none"/>
        </w:rPr>
        <w:t>%</w:t>
      </w:r>
      <w:r>
        <w:rPr>
          <w:rStyle w:val="16"/>
          <w:rFonts w:hint="eastAsia" w:ascii="仿宋_GB2312" w:hAnsi="楷体" w:eastAsia="仿宋_GB2312"/>
          <w:b w:val="0"/>
          <w:spacing w:val="-4"/>
          <w:sz w:val="28"/>
          <w:szCs w:val="28"/>
          <w:highlight w:val="none"/>
        </w:rPr>
        <w:t>，支出上升的主要原因是</w:t>
      </w:r>
      <w:r>
        <w:rPr>
          <w:rStyle w:val="16"/>
          <w:rFonts w:hint="eastAsia" w:ascii="仿宋_GB2312" w:hAnsi="楷体" w:eastAsia="仿宋_GB2312"/>
          <w:b w:val="0"/>
          <w:spacing w:val="-4"/>
          <w:sz w:val="28"/>
          <w:szCs w:val="28"/>
          <w:lang w:eastAsia="zh-CN"/>
        </w:rPr>
        <w:t>人员调整，特岗入编，</w:t>
      </w:r>
      <w:r>
        <w:rPr>
          <w:rStyle w:val="16"/>
          <w:rFonts w:hint="eastAsia" w:ascii="仿宋_GB2312" w:hAnsi="楷体" w:eastAsia="仿宋_GB2312"/>
          <w:b w:val="0"/>
          <w:spacing w:val="-4"/>
          <w:sz w:val="28"/>
          <w:szCs w:val="28"/>
        </w:rPr>
        <w:t>人数增加，兑现了部分人员职称工资</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2021年3月绩效调标</w:t>
      </w:r>
      <w:r>
        <w:rPr>
          <w:rStyle w:val="16"/>
          <w:rFonts w:hint="eastAsia" w:ascii="仿宋_GB2312" w:hAnsi="楷体" w:eastAsia="仿宋_GB2312"/>
          <w:b w:val="0"/>
          <w:spacing w:val="-4"/>
          <w:sz w:val="28"/>
          <w:szCs w:val="28"/>
          <w:lang w:eastAsia="zh-CN"/>
        </w:rPr>
        <w:t>，发放</w:t>
      </w:r>
      <w:r>
        <w:rPr>
          <w:rStyle w:val="16"/>
          <w:rFonts w:hint="eastAsia" w:ascii="仿宋_GB2312" w:hAnsi="楷体" w:eastAsia="仿宋_GB2312"/>
          <w:b w:val="0"/>
          <w:spacing w:val="-4"/>
          <w:sz w:val="28"/>
          <w:szCs w:val="28"/>
          <w:lang w:val="en-US" w:eastAsia="zh-CN"/>
        </w:rPr>
        <w:t>2018年.2020年绩效奖金及2020年综合治理奖。</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highlight w:val="none"/>
        </w:rPr>
        <w:t xml:space="preserve"> </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widowControl/>
        <w:spacing w:line="560" w:lineRule="exact"/>
        <w:ind w:firstLine="544" w:firstLineChars="200"/>
        <w:jc w:val="left"/>
        <w:rPr>
          <w:rStyle w:val="16"/>
          <w:rFonts w:hint="eastAsia" w:ascii="仿宋_GB2312" w:hAnsi="楷体" w:eastAsia="仿宋_GB2312"/>
          <w:b w:val="0"/>
          <w:spacing w:val="-4"/>
          <w:sz w:val="28"/>
          <w:szCs w:val="28"/>
        </w:rPr>
      </w:pPr>
      <w:bookmarkStart w:id="15" w:name="_Toc70450302"/>
      <w:r>
        <w:rPr>
          <w:rStyle w:val="16"/>
          <w:rFonts w:hint="eastAsia" w:ascii="仿宋_GB2312" w:hAnsi="楷体" w:eastAsia="仿宋_GB2312"/>
          <w:b w:val="0"/>
          <w:spacing w:val="-4"/>
          <w:sz w:val="28"/>
          <w:szCs w:val="28"/>
          <w:lang w:val="en-US" w:eastAsia="zh-CN"/>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2021年我单位未安排三公经费预算；公务用车购置费为0</w:t>
      </w:r>
      <w:r>
        <w:rPr>
          <w:rStyle w:val="16"/>
          <w:rFonts w:hint="eastAsia" w:ascii="仿宋_GB2312" w:hAnsi="楷体" w:eastAsia="仿宋_GB2312"/>
          <w:b w:val="0"/>
          <w:spacing w:val="-4"/>
          <w:sz w:val="28"/>
          <w:szCs w:val="28"/>
          <w:lang w:eastAsia="zh-CN"/>
        </w:rPr>
        <w:t>万元</w:t>
      </w:r>
      <w:r>
        <w:rPr>
          <w:rStyle w:val="16"/>
          <w:rFonts w:hint="eastAsia" w:ascii="仿宋_GB2312" w:hAnsi="楷体" w:eastAsia="仿宋_GB2312"/>
          <w:b w:val="0"/>
          <w:spacing w:val="-4"/>
          <w:sz w:val="28"/>
          <w:szCs w:val="28"/>
        </w:rPr>
        <w:t>，主要原因是：2021年我单位未安排预算</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万元，主要原因是：2021年我单位未安排预算；公务接待费增加0万元，主要原因是：2021年我单位未安排预算。</w:t>
      </w:r>
    </w:p>
    <w:bookmarkEnd w:id="15"/>
    <w:p>
      <w:pPr>
        <w:pStyle w:val="4"/>
        <w:spacing w:line="360" w:lineRule="auto"/>
        <w:rPr>
          <w:rStyle w:val="16"/>
          <w:rFonts w:ascii="仿宋" w:hAnsi="仿宋" w:eastAsia="仿宋"/>
          <w:b/>
          <w:bCs/>
        </w:rPr>
      </w:pPr>
      <w:bookmarkStart w:id="16" w:name="_Toc70450305"/>
      <w:r>
        <w:rPr>
          <w:rStyle w:val="16"/>
          <w:rFonts w:hint="eastAsia" w:ascii="仿宋" w:hAnsi="仿宋" w:eastAsia="仿宋"/>
          <w:b/>
          <w:bCs/>
          <w:lang w:eastAsia="zh-CN"/>
        </w:rPr>
        <w:t>（</w:t>
      </w:r>
      <w:r>
        <w:rPr>
          <w:rStyle w:val="16"/>
          <w:rFonts w:hint="eastAsia" w:ascii="仿宋" w:hAnsi="仿宋" w:eastAsia="仿宋"/>
          <w:b/>
          <w:bCs/>
        </w:rPr>
        <w:t>三）专项支出管理及使用情况</w:t>
      </w:r>
    </w:p>
    <w:p>
      <w:pPr>
        <w:pStyle w:val="5"/>
        <w:spacing w:line="360" w:lineRule="auto"/>
        <w:ind w:firstLine="562" w:firstLineChars="200"/>
        <w:rPr>
          <w:rStyle w:val="16"/>
          <w:rFonts w:ascii="仿宋" w:hAnsi="仿宋" w:eastAsia="仿宋"/>
          <w:b/>
          <w:bCs/>
        </w:rPr>
      </w:pPr>
      <w:bookmarkStart w:id="17" w:name="_Toc70450303"/>
      <w:r>
        <w:rPr>
          <w:rStyle w:val="16"/>
          <w:rFonts w:hint="eastAsia" w:ascii="仿宋" w:hAnsi="仿宋" w:eastAsia="仿宋"/>
          <w:b/>
          <w:bCs/>
        </w:rPr>
        <w:t>1、专项资金安排落实、总投入等情况分析</w:t>
      </w:r>
      <w:bookmarkEnd w:id="17"/>
    </w:p>
    <w:p>
      <w:pPr>
        <w:pStyle w:val="5"/>
        <w:spacing w:line="360" w:lineRule="auto"/>
        <w:ind w:firstLine="544" w:firstLineChars="200"/>
        <w:rPr>
          <w:rStyle w:val="16"/>
          <w:rFonts w:hint="eastAsia" w:ascii="仿宋_GB2312" w:hAnsi="楷体" w:eastAsia="仿宋_GB2312"/>
          <w:b w:val="0"/>
          <w:bCs/>
          <w:spacing w:val="-4"/>
          <w:sz w:val="28"/>
          <w:szCs w:val="28"/>
        </w:rPr>
      </w:pPr>
      <w:bookmarkStart w:id="18" w:name="_Toc70450304"/>
      <w:r>
        <w:rPr>
          <w:rStyle w:val="16"/>
          <w:rFonts w:hint="eastAsia" w:ascii="仿宋_GB2312" w:hAnsi="楷体" w:eastAsia="仿宋_GB2312"/>
          <w:b w:val="0"/>
          <w:bCs/>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2、专项资金实际使用情况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hint="eastAsia" w:ascii="仿宋" w:hAnsi="仿宋" w:eastAsia="仿宋"/>
          <w:b/>
          <w:bCs/>
        </w:rPr>
      </w:pPr>
      <w:r>
        <w:rPr>
          <w:rStyle w:val="16"/>
          <w:rFonts w:hint="eastAsia" w:ascii="仿宋" w:hAnsi="仿宋" w:eastAsia="仿宋"/>
          <w:b/>
          <w:bCs/>
        </w:rPr>
        <w:t>3、专项资金管理情况</w:t>
      </w:r>
    </w:p>
    <w:bookmarkEnd w:id="16"/>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w:t>
      </w:r>
      <w:r>
        <w:rPr>
          <w:rStyle w:val="16"/>
          <w:rFonts w:hint="eastAsia" w:ascii="仿宋_GB2312" w:hAnsi="楷体" w:eastAsia="仿宋_GB2312"/>
          <w:b w:val="0"/>
          <w:spacing w:val="-4"/>
          <w:sz w:val="28"/>
          <w:szCs w:val="28"/>
          <w:highlight w:val="none"/>
          <w:lang w:eastAsia="zh-CN"/>
        </w:rPr>
        <w:t>阔克铁热克柯尔克孜民族乡寄宿制初级中学</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w:t>
      </w:r>
      <w:r>
        <w:rPr>
          <w:rStyle w:val="16"/>
          <w:rFonts w:hint="eastAsia" w:ascii="仿宋_GB2312" w:hAnsi="楷体" w:eastAsia="仿宋_GB2312"/>
          <w:b w:val="0"/>
          <w:spacing w:val="-4"/>
          <w:sz w:val="28"/>
          <w:szCs w:val="28"/>
          <w:highlight w:val="none"/>
          <w:lang w:eastAsia="zh-CN"/>
        </w:rPr>
        <w:t>阔克铁热克柯尔克孜民族乡寄宿制初级中学</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w:t>
      </w:r>
      <w:r>
        <w:rPr>
          <w:rStyle w:val="16"/>
          <w:rFonts w:hint="eastAsia" w:ascii="仿宋_GB2312" w:hAnsi="楷体" w:eastAsia="仿宋_GB2312"/>
          <w:b w:val="0"/>
          <w:spacing w:val="-4"/>
          <w:sz w:val="28"/>
          <w:szCs w:val="28"/>
          <w:highlight w:val="none"/>
          <w:lang w:eastAsia="zh-CN"/>
        </w:rPr>
        <w:t>阔克铁热克柯尔克孜民族乡寄宿制初级中学</w:t>
      </w:r>
      <w:r>
        <w:rPr>
          <w:rStyle w:val="16"/>
          <w:rFonts w:hint="eastAsia" w:ascii="仿宋_GB2312" w:hAnsi="楷体" w:eastAsia="仿宋_GB2312"/>
          <w:b w:val="0"/>
          <w:spacing w:val="-4"/>
          <w:sz w:val="28"/>
          <w:szCs w:val="28"/>
          <w:highlight w:val="none"/>
        </w:rPr>
        <w:t>项目实施方案，确保项目顺利进行。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w:t>
      </w:r>
      <w:r>
        <w:rPr>
          <w:rStyle w:val="16"/>
          <w:rFonts w:hint="eastAsia" w:ascii="仿宋_GB2312" w:hAnsi="楷体" w:eastAsia="仿宋_GB2312"/>
          <w:b w:val="0"/>
          <w:spacing w:val="-4"/>
          <w:sz w:val="28"/>
          <w:szCs w:val="28"/>
          <w:highlight w:val="none"/>
          <w:lang w:eastAsia="zh-CN"/>
        </w:rPr>
        <w:t>阔克铁热克柯尔克孜民族乡寄宿制初级中学</w:t>
      </w:r>
      <w:r>
        <w:rPr>
          <w:rStyle w:val="16"/>
          <w:rFonts w:hint="eastAsia" w:ascii="仿宋_GB2312" w:hAnsi="楷体" w:eastAsia="仿宋_GB2312"/>
          <w:b w:val="0"/>
          <w:spacing w:val="-4"/>
          <w:sz w:val="28"/>
          <w:szCs w:val="28"/>
          <w:highlight w:val="none"/>
        </w:rPr>
        <w:t>项目验收，确保项目顺利进行。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专项资金涉及政府采购项目的，按照局《</w:t>
      </w:r>
      <w:r>
        <w:rPr>
          <w:rStyle w:val="16"/>
          <w:rFonts w:hint="eastAsia" w:ascii="仿宋_GB2312" w:hAnsi="楷体" w:eastAsia="仿宋_GB2312"/>
          <w:b w:val="0"/>
          <w:spacing w:val="-4"/>
          <w:sz w:val="28"/>
          <w:szCs w:val="28"/>
          <w:highlight w:val="none"/>
          <w:lang w:eastAsia="zh-CN"/>
        </w:rPr>
        <w:t>阔克铁热克乡初级中学</w:t>
      </w:r>
      <w:r>
        <w:rPr>
          <w:rStyle w:val="16"/>
          <w:rFonts w:hint="eastAsia" w:ascii="仿宋_GB2312" w:hAnsi="楷体" w:eastAsia="仿宋_GB2312"/>
          <w:b w:val="0"/>
          <w:spacing w:val="-4"/>
          <w:sz w:val="28"/>
          <w:szCs w:val="28"/>
          <w:highlight w:val="none"/>
        </w:rPr>
        <w:t>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highlight w:val="none"/>
        </w:rPr>
      </w:pP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hint="eastAsia" w:ascii="仿宋_GB2312" w:hAnsi="楷体" w:eastAsia="仿宋_GB2312"/>
          <w:b w:val="0"/>
          <w:spacing w:val="-4"/>
          <w:sz w:val="28"/>
          <w:szCs w:val="28"/>
          <w:lang w:eastAsia="zh-CN"/>
        </w:rPr>
      </w:pPr>
      <w:bookmarkStart w:id="20" w:name="_Toc70450310"/>
      <w:r>
        <w:rPr>
          <w:rStyle w:val="16"/>
          <w:rFonts w:hint="eastAsia" w:ascii="仿宋_GB2312" w:hAnsi="楷体" w:eastAsia="仿宋_GB2312"/>
          <w:b w:val="0"/>
          <w:spacing w:val="-4"/>
          <w:sz w:val="28"/>
          <w:szCs w:val="28"/>
        </w:rPr>
        <w:t>2021年我单位未安排项目支出预算</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2069.24</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rPr>
        <w:t>固定资产净值</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2069.24</w:t>
      </w:r>
      <w:r>
        <w:rPr>
          <w:rStyle w:val="16"/>
          <w:rFonts w:hint="eastAsia" w:ascii="仿宋_GB2312" w:hAnsi="宋体" w:eastAsia="仿宋_GB2312"/>
          <w:b w:val="0"/>
          <w:bCs w:val="0"/>
          <w:spacing w:val="-4"/>
          <w:sz w:val="28"/>
          <w:szCs w:val="28"/>
        </w:rPr>
        <w:t>万元（其中：土地、房屋及构筑物</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1935.67</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93</w:t>
      </w:r>
      <w:r>
        <w:rPr>
          <w:rStyle w:val="16"/>
          <w:rFonts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54</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14.34</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w:t>
      </w:r>
      <w:r>
        <w:rPr>
          <w:rStyle w:val="16"/>
          <w:rFonts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69</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10.83</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w:t>
      </w:r>
      <w:r>
        <w:rPr>
          <w:rStyle w:val="16"/>
          <w:rFonts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52</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108.40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本单位无流动资产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2069.24</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882.4</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通用设备增加</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hint="eastAsia" w:ascii="宋体" w:hAnsi="宋体" w:eastAsia="仿宋_GB2312"/>
          <w:bCs w:val="0"/>
          <w:color w:val="FF0000"/>
          <w:spacing w:val="-4"/>
          <w:sz w:val="28"/>
          <w:szCs w:val="28"/>
          <w:lang w:eastAsia="zh-CN"/>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2069.24</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highlight w:val="none"/>
        </w:rPr>
      </w:pPr>
      <w:bookmarkStart w:id="24" w:name="_Toc70450314"/>
      <w:r>
        <w:rPr>
          <w:rStyle w:val="16"/>
          <w:rFonts w:hint="eastAsia" w:ascii="仿宋" w:hAnsi="仿宋" w:eastAsia="仿宋"/>
          <w:b/>
          <w:bCs/>
          <w:highlight w:val="none"/>
        </w:rPr>
        <w:t>（一）经济效益评价</w:t>
      </w:r>
      <w:bookmarkEnd w:id="24"/>
    </w:p>
    <w:p>
      <w:pPr>
        <w:spacing w:line="360" w:lineRule="auto"/>
        <w:ind w:firstLine="544" w:firstLineChars="200"/>
        <w:rPr>
          <w:rStyle w:val="16"/>
          <w:rFonts w:ascii="仿宋_GB2312" w:hAnsi="宋体" w:eastAsia="仿宋_GB2312"/>
          <w:b w:val="0"/>
          <w:bCs w:val="0"/>
          <w:color w:val="000000" w:themeColor="text1"/>
          <w:spacing w:val="-4"/>
          <w:sz w:val="28"/>
          <w:szCs w:val="28"/>
          <w:highlight w:val="none"/>
          <w:shd w:val="clear" w:color="auto" w:fill="auto"/>
          <w14:textFill>
            <w14:solidFill>
              <w14:schemeClr w14:val="tx1"/>
            </w14:solidFill>
          </w14:textFill>
        </w:rPr>
      </w:pPr>
      <w:r>
        <w:rPr>
          <w:rStyle w:val="16"/>
          <w:rFonts w:hint="eastAsia" w:ascii="仿宋_GB2312" w:hAnsi="宋体" w:eastAsia="仿宋_GB2312"/>
          <w:b w:val="0"/>
          <w:bCs w:val="0"/>
          <w:color w:val="000000" w:themeColor="text1"/>
          <w:spacing w:val="-4"/>
          <w:sz w:val="28"/>
          <w:szCs w:val="28"/>
          <w:highlight w:val="none"/>
          <w:shd w:val="clear" w:color="auto" w:fill="auto"/>
          <w14:textFill>
            <w14:solidFill>
              <w14:schemeClr w14:val="tx1"/>
            </w14:solidFill>
          </w14:textFill>
        </w:rPr>
        <w:t>202</w:t>
      </w:r>
      <w:r>
        <w:rPr>
          <w:rStyle w:val="16"/>
          <w:rFonts w:hint="eastAsia" w:ascii="仿宋_GB2312" w:hAnsi="宋体" w:eastAsia="仿宋_GB2312"/>
          <w:b w:val="0"/>
          <w:bCs w:val="0"/>
          <w:color w:val="000000" w:themeColor="text1"/>
          <w:spacing w:val="-4"/>
          <w:sz w:val="28"/>
          <w:szCs w:val="28"/>
          <w:highlight w:val="none"/>
          <w:shd w:val="clear" w:color="auto" w:fill="auto"/>
          <w:lang w:val="en-US" w:eastAsia="zh-CN"/>
          <w14:textFill>
            <w14:solidFill>
              <w14:schemeClr w14:val="tx1"/>
            </w14:solidFill>
          </w14:textFill>
        </w:rPr>
        <w:t>1</w:t>
      </w:r>
      <w:r>
        <w:rPr>
          <w:rStyle w:val="16"/>
          <w:rFonts w:hint="eastAsia" w:ascii="仿宋_GB2312" w:hAnsi="宋体" w:eastAsia="仿宋_GB2312"/>
          <w:b w:val="0"/>
          <w:bCs w:val="0"/>
          <w:color w:val="000000" w:themeColor="text1"/>
          <w:spacing w:val="-4"/>
          <w:sz w:val="28"/>
          <w:szCs w:val="28"/>
          <w:highlight w:val="none"/>
          <w:shd w:val="clear" w:color="auto" w:fill="auto"/>
          <w14:textFill>
            <w14:solidFill>
              <w14:schemeClr w14:val="tx1"/>
            </w14:solidFill>
          </w14:textFill>
        </w:rPr>
        <w:t>年度我单位年初预算安排</w:t>
      </w:r>
      <w:r>
        <w:rPr>
          <w:rStyle w:val="16"/>
          <w:rFonts w:hint="eastAsia" w:ascii="仿宋_GB2312" w:hAnsi="楷体" w:eastAsia="仿宋_GB2312"/>
          <w:b w:val="0"/>
          <w:color w:val="000000" w:themeColor="text1"/>
          <w:spacing w:val="-4"/>
          <w:sz w:val="28"/>
          <w:szCs w:val="28"/>
          <w:highlight w:val="none"/>
          <w:shd w:val="clear" w:color="auto" w:fill="auto"/>
          <w:lang w:val="en-US" w:eastAsia="zh-CN"/>
          <w14:textFill>
            <w14:solidFill>
              <w14:schemeClr w14:val="tx1"/>
            </w14:solidFill>
          </w14:textFill>
        </w:rPr>
        <w:t>3286.63</w:t>
      </w:r>
      <w:r>
        <w:rPr>
          <w:rStyle w:val="16"/>
          <w:rFonts w:ascii="仿宋_GB2312" w:hAnsi="楷体" w:eastAsia="仿宋_GB2312"/>
          <w:b w:val="0"/>
          <w:color w:val="000000" w:themeColor="text1"/>
          <w:spacing w:val="-4"/>
          <w:sz w:val="28"/>
          <w:szCs w:val="28"/>
          <w:highlight w:val="none"/>
          <w:shd w:val="clear" w:color="auto" w:fill="auto"/>
          <w14:textFill>
            <w14:solidFill>
              <w14:schemeClr w14:val="tx1"/>
            </w14:solidFill>
          </w14:textFill>
        </w:rPr>
        <w:t xml:space="preserve"> </w:t>
      </w:r>
      <w:r>
        <w:rPr>
          <w:rStyle w:val="16"/>
          <w:rFonts w:hint="eastAsia" w:ascii="仿宋_GB2312" w:hAnsi="宋体" w:eastAsia="仿宋_GB2312"/>
          <w:b w:val="0"/>
          <w:bCs w:val="0"/>
          <w:color w:val="000000" w:themeColor="text1"/>
          <w:spacing w:val="-4"/>
          <w:sz w:val="28"/>
          <w:szCs w:val="28"/>
          <w:highlight w:val="none"/>
          <w:shd w:val="clear" w:color="auto" w:fill="auto"/>
          <w14:textFill>
            <w14:solidFill>
              <w14:schemeClr w14:val="tx1"/>
            </w14:solidFill>
          </w14:textFill>
        </w:rPr>
        <w:t>万元，年中调整</w:t>
      </w:r>
      <w:r>
        <w:rPr>
          <w:rStyle w:val="16"/>
          <w:rFonts w:hint="eastAsia" w:ascii="仿宋_GB2312" w:hAnsi="楷体" w:eastAsia="仿宋_GB2312"/>
          <w:b w:val="0"/>
          <w:spacing w:val="-4"/>
          <w:sz w:val="28"/>
          <w:szCs w:val="28"/>
          <w:lang w:val="en-US" w:eastAsia="zh-CN"/>
        </w:rPr>
        <w:t>1537.48</w:t>
      </w:r>
      <w:r>
        <w:rPr>
          <w:rStyle w:val="16"/>
          <w:rFonts w:hint="eastAsia" w:ascii="仿宋_GB2312" w:hAnsi="宋体" w:eastAsia="仿宋_GB2312"/>
          <w:b w:val="0"/>
          <w:bCs w:val="0"/>
          <w:color w:val="000000" w:themeColor="text1"/>
          <w:spacing w:val="-4"/>
          <w:sz w:val="28"/>
          <w:szCs w:val="28"/>
          <w:highlight w:val="none"/>
          <w:shd w:val="clear" w:color="auto" w:fill="auto"/>
          <w14:textFill>
            <w14:solidFill>
              <w14:schemeClr w14:val="tx1"/>
            </w14:solidFill>
          </w14:textFill>
        </w:rPr>
        <w:t>万元，截止12月底支出</w:t>
      </w:r>
      <w:r>
        <w:rPr>
          <w:rStyle w:val="16"/>
          <w:rFonts w:hint="eastAsia" w:ascii="仿宋_GB2312" w:hAnsi="楷体" w:eastAsia="仿宋_GB2312"/>
          <w:b w:val="0"/>
          <w:spacing w:val="-4"/>
          <w:sz w:val="28"/>
          <w:szCs w:val="28"/>
          <w:lang w:val="en-US" w:eastAsia="zh-CN"/>
        </w:rPr>
        <w:t>4824.11</w:t>
      </w:r>
      <w:r>
        <w:rPr>
          <w:rStyle w:val="16"/>
          <w:rFonts w:hint="eastAsia" w:ascii="仿宋_GB2312" w:hAnsi="宋体" w:eastAsia="仿宋_GB2312"/>
          <w:b w:val="0"/>
          <w:bCs w:val="0"/>
          <w:color w:val="000000" w:themeColor="text1"/>
          <w:spacing w:val="-4"/>
          <w:sz w:val="28"/>
          <w:szCs w:val="28"/>
          <w:highlight w:val="none"/>
          <w:shd w:val="clear" w:color="auto" w:fill="auto"/>
          <w14:textFill>
            <w14:solidFill>
              <w14:schemeClr w14:val="tx1"/>
            </w14:solidFill>
          </w14:textFill>
        </w:rPr>
        <w:t>万元，执行率</w:t>
      </w:r>
      <w:r>
        <w:rPr>
          <w:rStyle w:val="16"/>
          <w:rFonts w:hint="eastAsia" w:ascii="仿宋_GB2312" w:hAnsi="宋体" w:eastAsia="仿宋_GB2312"/>
          <w:b w:val="0"/>
          <w:bCs w:val="0"/>
          <w:color w:val="000000" w:themeColor="text1"/>
          <w:spacing w:val="-4"/>
          <w:sz w:val="28"/>
          <w:szCs w:val="28"/>
          <w:highlight w:val="none"/>
          <w:shd w:val="clear" w:color="auto" w:fill="auto"/>
          <w:lang w:val="en-US" w:eastAsia="zh-CN"/>
          <w14:textFill>
            <w14:solidFill>
              <w14:schemeClr w14:val="tx1"/>
            </w14:solidFill>
          </w14:textFill>
        </w:rPr>
        <w:t>100</w:t>
      </w:r>
      <w:r>
        <w:rPr>
          <w:rStyle w:val="16"/>
          <w:rFonts w:hint="eastAsia" w:ascii="仿宋_GB2312" w:hAnsi="宋体" w:eastAsia="仿宋_GB2312"/>
          <w:b w:val="0"/>
          <w:bCs w:val="0"/>
          <w:color w:val="000000" w:themeColor="text1"/>
          <w:spacing w:val="-4"/>
          <w:sz w:val="28"/>
          <w:szCs w:val="28"/>
          <w:highlight w:val="none"/>
          <w:shd w:val="clear" w:color="auto" w:fill="auto"/>
          <w14:textFill>
            <w14:solidFill>
              <w14:schemeClr w14:val="tx1"/>
            </w14:solidFill>
          </w14:textFill>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6"/>
      <w:r>
        <w:rPr>
          <w:rStyle w:val="16"/>
          <w:rFonts w:hint="eastAsia" w:ascii="仿宋" w:hAnsi="仿宋" w:eastAsia="仿宋"/>
          <w:b/>
          <w:bCs/>
        </w:rPr>
        <w:t>（二）效率性评价</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2021年，在特克斯县人民政府的大力支持和教育局党委的正确领导下，</w:t>
      </w:r>
      <w:r>
        <w:rPr>
          <w:rFonts w:hint="eastAsia" w:ascii="仿宋" w:hAnsi="仿宋" w:eastAsia="仿宋" w:cs="仿宋"/>
          <w:kern w:val="0"/>
          <w:sz w:val="28"/>
          <w:szCs w:val="28"/>
          <w:lang w:eastAsia="zh-CN"/>
        </w:rPr>
        <w:t>特克斯县阔克铁热克柯尔克孜民族乡寄宿制初级中学</w:t>
      </w:r>
      <w:r>
        <w:rPr>
          <w:rStyle w:val="16"/>
          <w:rFonts w:hint="eastAsia" w:ascii="仿宋_GB2312" w:hAnsi="宋体" w:eastAsia="仿宋_GB2312"/>
          <w:b w:val="0"/>
          <w:bCs w:val="0"/>
          <w:spacing w:val="-4"/>
          <w:sz w:val="28"/>
          <w:szCs w:val="28"/>
        </w:rPr>
        <w:t>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6"/>
          <w:rFonts w:hint="eastAsia" w:ascii="仿宋" w:hAnsi="仿宋" w:eastAsia="仿宋"/>
          <w:b/>
          <w:bCs/>
        </w:rPr>
      </w:pPr>
      <w:r>
        <w:rPr>
          <w:rStyle w:val="16"/>
          <w:rFonts w:hint="eastAsia" w:ascii="仿宋" w:hAnsi="仿宋" w:eastAsia="仿宋"/>
          <w:b/>
          <w:bCs/>
        </w:rPr>
        <w:t>（三）有效性评价</w:t>
      </w:r>
      <w:bookmarkEnd w:id="25"/>
    </w:p>
    <w:p>
      <w:pPr>
        <w:pStyle w:val="4"/>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lang w:eastAsia="zh-CN"/>
        </w:rPr>
        <w:t>特克斯县阔克铁热克柯尔克孜民族乡寄宿制初级中学</w:t>
      </w:r>
      <w:r>
        <w:rPr>
          <w:rStyle w:val="16"/>
          <w:rFonts w:hint="eastAsia" w:ascii="仿宋_GB2312" w:hAnsi="宋体" w:eastAsia="仿宋_GB2312"/>
          <w:b w:val="0"/>
          <w:bCs w:val="0"/>
          <w:color w:val="auto"/>
          <w:spacing w:val="-4"/>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r>
        <w:rPr>
          <w:rStyle w:val="16"/>
          <w:rFonts w:hint="eastAsia" w:ascii="仿宋_GB2312" w:hAnsi="宋体" w:eastAsia="仿宋_GB2312"/>
          <w:b w:val="0"/>
          <w:bCs w:val="0"/>
          <w:color w:val="auto"/>
          <w:spacing w:val="-4"/>
          <w:sz w:val="28"/>
          <w:szCs w:val="28"/>
          <w:lang w:eastAsia="zh-CN"/>
        </w:rPr>
        <w:t>。</w:t>
      </w:r>
      <w:r>
        <w:rPr>
          <w:rStyle w:val="16"/>
          <w:rFonts w:hint="eastAsia" w:ascii="仿宋_GB2312" w:hAnsi="宋体" w:eastAsia="仿宋_GB2312"/>
          <w:b w:val="0"/>
          <w:bCs w:val="0"/>
          <w:color w:val="auto"/>
          <w:spacing w:val="-4"/>
          <w:sz w:val="28"/>
          <w:szCs w:val="28"/>
        </w:rPr>
        <w:t>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hAnsi="宋体" w:eastAsia="仿宋_GB2312"/>
          <w:b w:val="0"/>
          <w:bCs w:val="0"/>
          <w:color w:val="auto"/>
          <w:spacing w:val="-4"/>
          <w:sz w:val="28"/>
          <w:szCs w:val="28"/>
          <w:lang w:eastAsia="zh-CN"/>
        </w:rPr>
        <w:t>特克斯县阔克铁热克柯尔克孜民族乡寄宿制初级中学</w:t>
      </w:r>
      <w:r>
        <w:rPr>
          <w:rStyle w:val="16"/>
          <w:rFonts w:hint="eastAsia" w:ascii="仿宋_GB2312" w:eastAsia="仿宋_GB2312" w:hAnsiTheme="minorEastAsia"/>
          <w:b w:val="0"/>
          <w:spacing w:val="-4"/>
          <w:sz w:val="28"/>
          <w:szCs w:val="28"/>
        </w:rPr>
        <w:t>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 xml:space="preserve">个，二级指标 </w:t>
      </w:r>
      <w:r>
        <w:rPr>
          <w:rStyle w:val="16"/>
          <w:rFonts w:hint="eastAsia" w:ascii="仿宋_GB2312" w:eastAsia="仿宋_GB2312" w:hAnsiTheme="minorEastAsia"/>
          <w:b w:val="0"/>
          <w:spacing w:val="-4"/>
          <w:sz w:val="28"/>
          <w:szCs w:val="28"/>
          <w:lang w:val="en-US" w:eastAsia="zh-CN"/>
        </w:rPr>
        <w:t>6</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14</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指标1在职人员数，指标值：</w:t>
      </w:r>
      <w:r>
        <w:rPr>
          <w:rStyle w:val="16"/>
          <w:rFonts w:hint="eastAsia" w:ascii="仿宋_GB2312" w:hAnsi="宋体" w:eastAsia="仿宋_GB2312"/>
          <w:b w:val="0"/>
          <w:spacing w:val="-4"/>
          <w:sz w:val="28"/>
          <w:szCs w:val="28"/>
          <w:lang w:val="en-US" w:eastAsia="zh-CN"/>
        </w:rPr>
        <w:t>=303人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303人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：退休人员数，指标值：</w:t>
      </w:r>
      <w:r>
        <w:rPr>
          <w:rStyle w:val="16"/>
          <w:rFonts w:hint="eastAsia" w:ascii="仿宋_GB2312" w:hAnsi="宋体" w:eastAsia="仿宋_GB2312"/>
          <w:b w:val="0"/>
          <w:spacing w:val="-4"/>
          <w:sz w:val="28"/>
          <w:szCs w:val="28"/>
          <w:lang w:val="en-US" w:eastAsia="zh-CN"/>
        </w:rPr>
        <w:t>=62人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62</w:t>
      </w:r>
      <w:r>
        <w:rPr>
          <w:rStyle w:val="16"/>
          <w:rFonts w:hint="eastAsia" w:ascii="仿宋_GB2312" w:hAnsi="宋体" w:eastAsia="仿宋_GB2312"/>
          <w:b w:val="0"/>
          <w:spacing w:val="-4"/>
          <w:sz w:val="28"/>
          <w:szCs w:val="28"/>
        </w:rPr>
        <w:t xml:space="preserve"> </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：遗属补助人数</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val="en-US" w:eastAsia="zh-CN"/>
        </w:rPr>
        <w:t>=13人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13人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：编制人数</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lang w:val="en-US" w:eastAsia="zh-CN"/>
        </w:rPr>
        <w:t>=206人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206</w:t>
      </w:r>
      <w:r>
        <w:rPr>
          <w:rStyle w:val="16"/>
          <w:rFonts w:hint="eastAsia" w:ascii="仿宋_GB2312" w:hAnsi="宋体" w:eastAsia="仿宋_GB2312"/>
          <w:b w:val="0"/>
          <w:spacing w:val="-4"/>
          <w:sz w:val="28"/>
          <w:szCs w:val="28"/>
        </w:rPr>
        <w:t xml:space="preserve"> </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ascii="仿宋_GB2312" w:hAnsi="宋体" w:eastAsia="仿宋_GB2312"/>
          <w:b w:val="0"/>
          <w:spacing w:val="-4"/>
          <w:sz w:val="28"/>
          <w:szCs w:val="28"/>
        </w:rPr>
        <w:t>.</w:t>
      </w:r>
      <w:r>
        <w:rPr>
          <w:rStyle w:val="16"/>
          <w:rFonts w:hint="eastAsia" w:ascii="仿宋_GB2312" w:hAnsi="宋体" w:eastAsia="仿宋_GB2312"/>
          <w:b w:val="0"/>
          <w:spacing w:val="-4"/>
          <w:sz w:val="28"/>
          <w:szCs w:val="28"/>
          <w:lang w:val="en-US" w:eastAsia="zh-CN"/>
        </w:rPr>
        <w:t>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指标1：工资及公用经费保障率 ，指标值：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指标1：资金发放及时性，</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指标1：在职人员工资，社保，住房，指标值：≤10.8</w:t>
      </w:r>
      <w:r>
        <w:rPr>
          <w:rStyle w:val="16"/>
          <w:rFonts w:hint="eastAsia" w:ascii="仿宋_GB2312" w:hAnsi="宋体" w:eastAsia="仿宋_GB2312"/>
          <w:b w:val="0"/>
          <w:spacing w:val="-4"/>
          <w:sz w:val="28"/>
          <w:szCs w:val="28"/>
          <w:lang w:val="en-US" w:eastAsia="zh-CN"/>
        </w:rPr>
        <w:t>0</w:t>
      </w:r>
      <w:r>
        <w:rPr>
          <w:rStyle w:val="16"/>
          <w:rFonts w:hint="eastAsia" w:ascii="仿宋_GB2312" w:hAnsi="宋体" w:eastAsia="仿宋_GB2312"/>
          <w:b w:val="0"/>
          <w:spacing w:val="-4"/>
          <w:sz w:val="28"/>
          <w:szCs w:val="28"/>
        </w:rPr>
        <w:t>万元/人/年，实际完成值：</w:t>
      </w:r>
      <w:r>
        <w:rPr>
          <w:rStyle w:val="16"/>
          <w:rFonts w:hint="eastAsia" w:ascii="仿宋_GB2312" w:hAnsi="宋体" w:eastAsia="仿宋_GB2312"/>
          <w:b w:val="0"/>
          <w:spacing w:val="-4"/>
          <w:sz w:val="28"/>
          <w:szCs w:val="28"/>
          <w:lang w:val="en-US" w:eastAsia="zh-CN"/>
        </w:rPr>
        <w:t>10.80</w:t>
      </w:r>
      <w:r>
        <w:rPr>
          <w:rStyle w:val="16"/>
          <w:rFonts w:hint="eastAsia" w:ascii="仿宋_GB2312" w:hAnsi="宋体" w:eastAsia="仿宋_GB2312"/>
          <w:b w:val="0"/>
          <w:spacing w:val="-4"/>
          <w:sz w:val="28"/>
          <w:szCs w:val="28"/>
        </w:rPr>
        <w:t>万元/人/年  ，指标完成率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：退休人员计生奖励，指标值≤0.1314万元/人/年，实际完成值： 0.1314万元/人/年，指标完成率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：取暖费</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指标值：≤0.13万元/人/年</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实际完成值：0.13万元/人/年，指标完成率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：遗属补助人数</w:t>
      </w:r>
      <w:r>
        <w:rPr>
          <w:rStyle w:val="16"/>
          <w:rFonts w:hint="eastAsia" w:ascii="仿宋_GB2312" w:hAnsi="宋体" w:eastAsia="仿宋_GB2312"/>
          <w:b w:val="0"/>
          <w:spacing w:val="-4"/>
          <w:sz w:val="28"/>
          <w:szCs w:val="28"/>
          <w:lang w:eastAsia="zh-CN"/>
        </w:rPr>
        <w:t>，≤0.444万元/人/年，</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0.444</w:t>
      </w:r>
      <w:r>
        <w:rPr>
          <w:rStyle w:val="16"/>
          <w:rFonts w:hint="eastAsia" w:ascii="仿宋_GB2312" w:hAnsi="宋体" w:eastAsia="仿宋_GB2312"/>
          <w:b w:val="0"/>
          <w:spacing w:val="-4"/>
          <w:sz w:val="28"/>
          <w:szCs w:val="28"/>
          <w:lang w:eastAsia="zh-CN"/>
        </w:rPr>
        <w:t>万元/人/年</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指标1：保证教学任务及时完成，指标值：有效保证，实际完成值：有效保证，指标完成率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：保证教师队伍稳定，指标值：有效保证 ，实际完成值：有效保证，指标完成率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指标1：教师满意度，指标值：≥95% ，实际完成值：95%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 xml:space="preserve">：退休教师满意度，指标值：≥95%，实际完成值：95% </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6" w:name="_Toc70450317"/>
      <w:r>
        <w:rPr>
          <w:rFonts w:hint="eastAsia" w:ascii="仿宋" w:hAnsi="仿宋" w:eastAsia="仿宋"/>
          <w:sz w:val="36"/>
          <w:szCs w:val="36"/>
          <w:lang w:bidi="ar"/>
        </w:rPr>
        <w:t>六、存在的主要问题</w:t>
      </w:r>
      <w:bookmarkEnd w:id="26"/>
    </w:p>
    <w:p>
      <w:pPr>
        <w:snapToGrid w:val="0"/>
        <w:spacing w:line="360" w:lineRule="auto"/>
        <w:ind w:firstLine="544" w:firstLineChars="200"/>
        <w:rPr>
          <w:rStyle w:val="16"/>
          <w:rFonts w:hint="eastAsia" w:ascii="仿宋_GB2312" w:hAnsi="宋体" w:eastAsia="仿宋_GB2312" w:cs="Times New Roman"/>
          <w:b w:val="0"/>
          <w:spacing w:val="-4"/>
          <w:sz w:val="28"/>
          <w:szCs w:val="28"/>
        </w:rPr>
      </w:pPr>
      <w:bookmarkStart w:id="32" w:name="_GoBack"/>
      <w:r>
        <w:rPr>
          <w:rStyle w:val="16"/>
          <w:rFonts w:hint="eastAsia" w:ascii="仿宋_GB2312" w:hAnsi="宋体" w:eastAsia="仿宋_GB2312" w:cs="Times New Roman"/>
          <w:b w:val="0"/>
          <w:spacing w:val="-4"/>
          <w:sz w:val="28"/>
          <w:szCs w:val="28"/>
        </w:rPr>
        <w:t>1、预算绩效管理观念淡薄，缺乏主动性。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2、预算绩效管理的组织架构不够完善，缺乏统筹性。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3、绩效型预算编制脱离实际，缺乏前瞻性。</w:t>
      </w:r>
    </w:p>
    <w:bookmarkEnd w:id="32"/>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4、绩效型预算评价方法比较单一、简单，大都还是采用目标分析法、成本效益分析法等，主观因素判断占比较大，尚未主动尝试采用层次分析法等先进方法。</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lang w:val="en-US" w:eastAsia="zh-CN"/>
        </w:rPr>
        <w:t>5、</w:t>
      </w:r>
      <w:r>
        <w:rPr>
          <w:rStyle w:val="16"/>
          <w:rFonts w:hint="eastAsia" w:ascii="仿宋_GB2312" w:hAnsi="宋体" w:eastAsia="仿宋_GB2312" w:cs="Times New Roman"/>
          <w:b w:val="0"/>
          <w:spacing w:val="-4"/>
          <w:sz w:val="28"/>
          <w:szCs w:val="28"/>
        </w:rPr>
        <w:t>固定资产管理水平有待提高</w:t>
      </w:r>
      <w:r>
        <w:rPr>
          <w:rStyle w:val="16"/>
          <w:rFonts w:hint="eastAsia" w:ascii="仿宋_GB2312" w:hAnsi="宋体" w:eastAsia="仿宋_GB2312" w:cs="Times New Roman"/>
          <w:b w:val="0"/>
          <w:spacing w:val="-4"/>
          <w:sz w:val="28"/>
          <w:szCs w:val="28"/>
          <w:lang w:eastAsia="zh-CN"/>
        </w:rPr>
        <w:t>，</w:t>
      </w:r>
      <w:r>
        <w:rPr>
          <w:rStyle w:val="16"/>
          <w:rFonts w:hint="eastAsia" w:ascii="仿宋_GB2312" w:hAnsi="宋体" w:eastAsia="仿宋_GB2312" w:cs="Times New Roman"/>
          <w:b w:val="0"/>
          <w:spacing w:val="-4"/>
          <w:sz w:val="28"/>
          <w:szCs w:val="28"/>
        </w:rPr>
        <w:t>固定资产台账未及时与账面资产金额对账且末与实物进行清点及及时清理处置报废资产导致资产台账与账面资产金额存在差异,固定资产管理继续加强中。</w:t>
      </w:r>
    </w:p>
    <w:p>
      <w:pPr>
        <w:spacing w:line="360" w:lineRule="auto"/>
        <w:rPr>
          <w:lang w:bidi="ar"/>
        </w:rPr>
      </w:pPr>
    </w:p>
    <w:p>
      <w:pPr>
        <w:pStyle w:val="3"/>
        <w:numPr>
          <w:ilvl w:val="0"/>
          <w:numId w:val="2"/>
        </w:numPr>
        <w:spacing w:line="360" w:lineRule="auto"/>
        <w:rPr>
          <w:rFonts w:hint="eastAsia" w:ascii="仿宋" w:hAnsi="仿宋" w:eastAsia="仿宋"/>
          <w:sz w:val="36"/>
          <w:szCs w:val="36"/>
          <w:lang w:bidi="ar"/>
        </w:rPr>
      </w:pPr>
      <w:bookmarkStart w:id="27" w:name="_Toc70450318"/>
      <w:r>
        <w:rPr>
          <w:rFonts w:hint="eastAsia" w:ascii="仿宋" w:hAnsi="仿宋" w:eastAsia="仿宋"/>
          <w:sz w:val="36"/>
          <w:szCs w:val="36"/>
          <w:lang w:bidi="ar"/>
        </w:rPr>
        <w:t>改进措施和建议</w:t>
      </w:r>
      <w:bookmarkEnd w:id="27"/>
      <w:bookmarkStart w:id="28" w:name="_Toc70450319"/>
    </w:p>
    <w:p>
      <w:pPr>
        <w:pStyle w:val="3"/>
        <w:numPr>
          <w:ilvl w:val="0"/>
          <w:numId w:val="0"/>
        </w:numPr>
        <w:spacing w:line="360" w:lineRule="auto"/>
        <w:rPr>
          <w:rStyle w:val="16"/>
          <w:rFonts w:ascii="仿宋" w:hAnsi="仿宋" w:eastAsia="仿宋"/>
          <w:b/>
          <w:bCs/>
        </w:rPr>
      </w:pPr>
      <w:r>
        <w:rPr>
          <w:rStyle w:val="16"/>
          <w:rFonts w:hint="eastAsia" w:ascii="仿宋" w:hAnsi="仿宋" w:eastAsia="仿宋"/>
          <w:b/>
          <w:bCs/>
        </w:rPr>
        <w:t>（一）改进措施</w:t>
      </w:r>
      <w:bookmarkEnd w:id="28"/>
    </w:p>
    <w:p>
      <w:pPr>
        <w:spacing w:line="360" w:lineRule="auto"/>
        <w:ind w:firstLine="544" w:firstLineChars="200"/>
        <w:rPr>
          <w:rStyle w:val="16"/>
          <w:rFonts w:ascii="仿宋_GB2312" w:hAnsi="楷体" w:eastAsia="仿宋_GB2312"/>
          <w:b w:val="0"/>
          <w:spacing w:val="-4"/>
          <w:sz w:val="28"/>
          <w:szCs w:val="28"/>
        </w:rPr>
      </w:pPr>
      <w:bookmarkStart w:id="29" w:name="_Toc70450320"/>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r>
        <w:rPr>
          <w:rStyle w:val="16"/>
          <w:rFonts w:hint="eastAsia" w:ascii="仿宋" w:hAnsi="仿宋" w:eastAsia="仿宋"/>
          <w:b/>
          <w:bCs/>
        </w:rPr>
        <w:t>（二）建议</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0"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1" w:name="_Hlk70450148"/>
      <w:r>
        <w:rPr>
          <w:rStyle w:val="16"/>
          <w:rFonts w:hint="eastAsia" w:ascii="仿宋" w:hAnsi="仿宋" w:eastAsia="仿宋"/>
          <w:b/>
          <w:bCs/>
          <w:sz w:val="36"/>
          <w:szCs w:val="36"/>
        </w:rPr>
        <w:t>《部门整体支出绩效目标自评表》</w:t>
      </w:r>
      <w:bookmarkEnd w:id="30"/>
      <w:bookmarkEnd w:id="31"/>
    </w:p>
    <w:p/>
    <w:tbl>
      <w:tblPr>
        <w:tblStyle w:val="14"/>
        <w:tblW w:w="8213" w:type="dxa"/>
        <w:tblInd w:w="93" w:type="dxa"/>
        <w:tblLayout w:type="fixed"/>
        <w:tblCellMar>
          <w:top w:w="0" w:type="dxa"/>
          <w:left w:w="108" w:type="dxa"/>
          <w:bottom w:w="0" w:type="dxa"/>
          <w:right w:w="108" w:type="dxa"/>
        </w:tblCellMar>
      </w:tblPr>
      <w:tblGrid>
        <w:gridCol w:w="545"/>
        <w:gridCol w:w="736"/>
        <w:gridCol w:w="1047"/>
        <w:gridCol w:w="223"/>
        <w:gridCol w:w="777"/>
        <w:gridCol w:w="223"/>
        <w:gridCol w:w="773"/>
        <w:gridCol w:w="223"/>
        <w:gridCol w:w="281"/>
        <w:gridCol w:w="223"/>
        <w:gridCol w:w="917"/>
        <w:gridCol w:w="223"/>
        <w:gridCol w:w="761"/>
        <w:gridCol w:w="223"/>
        <w:gridCol w:w="815"/>
        <w:gridCol w:w="223"/>
      </w:tblGrid>
      <w:tr>
        <w:tblPrEx>
          <w:tblCellMar>
            <w:top w:w="0" w:type="dxa"/>
            <w:left w:w="108" w:type="dxa"/>
            <w:bottom w:w="0" w:type="dxa"/>
            <w:right w:w="108" w:type="dxa"/>
          </w:tblCellMar>
        </w:tblPrEx>
        <w:trPr>
          <w:trHeight w:val="405" w:hRule="atLeast"/>
        </w:trPr>
        <w:tc>
          <w:tcPr>
            <w:tcW w:w="8213" w:type="dxa"/>
            <w:gridSpan w:val="16"/>
            <w:tcBorders>
              <w:top w:val="nil"/>
              <w:left w:val="nil"/>
              <w:bottom w:val="nil"/>
              <w:right w:val="nil"/>
            </w:tcBorders>
            <w:shd w:val="clear" w:color="auto" w:fill="auto"/>
            <w:vAlign w:val="center"/>
          </w:tcPr>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8213" w:type="dxa"/>
            <w:gridSpan w:val="16"/>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2021</w:t>
            </w:r>
            <w:r>
              <w:rPr>
                <w:rFonts w:ascii="Times New Roman" w:hAnsi="Times New Roman" w:eastAsia="宋体" w:cs="Times New Roman"/>
                <w:kern w:val="0"/>
                <w:sz w:val="24"/>
              </w:rPr>
              <w:t xml:space="preserve"> </w:t>
            </w:r>
            <w:r>
              <w:rPr>
                <w:rFonts w:hint="eastAsia" w:ascii="宋体" w:hAnsi="宋体" w:eastAsia="宋体" w:cs="宋体"/>
                <w:kern w:val="0"/>
                <w:sz w:val="24"/>
              </w:rPr>
              <w:t>年度）</w:t>
            </w:r>
          </w:p>
        </w:tc>
      </w:tr>
      <w:tr>
        <w:tblPrEx>
          <w:tblCellMar>
            <w:top w:w="0" w:type="dxa"/>
            <w:left w:w="108" w:type="dxa"/>
            <w:bottom w:w="0" w:type="dxa"/>
            <w:right w:w="108" w:type="dxa"/>
          </w:tblCellMar>
        </w:tblPrEx>
        <w:trPr>
          <w:gridAfter w:val="1"/>
          <w:wAfter w:w="223" w:type="dxa"/>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47"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00"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96"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504"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40"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84"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1038"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28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部门名称</w:t>
            </w:r>
          </w:p>
        </w:tc>
        <w:tc>
          <w:tcPr>
            <w:tcW w:w="6932" w:type="dxa"/>
            <w:gridSpan w:val="1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特克斯县阔克铁热克乡文教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年度</w:t>
            </w:r>
            <w:r>
              <w:rPr>
                <w:rFonts w:hint="eastAsia" w:ascii="宋体" w:hAnsi="宋体" w:eastAsia="宋体" w:cs="宋体"/>
                <w:kern w:val="0"/>
                <w:sz w:val="15"/>
                <w:szCs w:val="15"/>
              </w:rPr>
              <w:br w:type="textWrapping"/>
            </w:r>
            <w:r>
              <w:rPr>
                <w:rFonts w:hint="eastAsia" w:ascii="宋体" w:hAnsi="宋体" w:eastAsia="宋体" w:cs="宋体"/>
                <w:kern w:val="0"/>
                <w:sz w:val="15"/>
                <w:szCs w:val="15"/>
              </w:rPr>
              <w:t>主要</w:t>
            </w:r>
            <w:r>
              <w:rPr>
                <w:rFonts w:hint="eastAsia" w:ascii="宋体" w:hAnsi="宋体" w:eastAsia="宋体" w:cs="宋体"/>
                <w:kern w:val="0"/>
                <w:sz w:val="15"/>
                <w:szCs w:val="15"/>
              </w:rPr>
              <w:br w:type="textWrapping"/>
            </w:r>
            <w:r>
              <w:rPr>
                <w:rFonts w:hint="eastAsia" w:ascii="宋体" w:hAnsi="宋体" w:eastAsia="宋体" w:cs="宋体"/>
                <w:kern w:val="0"/>
                <w:sz w:val="15"/>
                <w:szCs w:val="15"/>
              </w:rPr>
              <w:t>任务</w:t>
            </w:r>
          </w:p>
        </w:tc>
        <w:tc>
          <w:tcPr>
            <w:tcW w:w="73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任务名称</w:t>
            </w:r>
          </w:p>
        </w:tc>
        <w:tc>
          <w:tcPr>
            <w:tcW w:w="127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主要内容</w:t>
            </w:r>
          </w:p>
        </w:tc>
        <w:tc>
          <w:tcPr>
            <w:tcW w:w="250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预算金额（万元）</w:t>
            </w:r>
          </w:p>
        </w:tc>
        <w:tc>
          <w:tcPr>
            <w:tcW w:w="3162" w:type="dxa"/>
            <w:gridSpan w:val="6"/>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15"/>
                <w:szCs w:val="15"/>
              </w:rPr>
            </w:pPr>
            <w:r>
              <w:rPr>
                <w:rFonts w:hint="eastAsia" w:ascii="宋体" w:hAnsi="宋体" w:eastAsia="宋体" w:cs="宋体"/>
                <w:kern w:val="0"/>
                <w:sz w:val="15"/>
                <w:szCs w:val="15"/>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5"/>
                <w:szCs w:val="15"/>
              </w:rPr>
            </w:pPr>
          </w:p>
        </w:tc>
        <w:tc>
          <w:tcPr>
            <w:tcW w:w="736"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宋体" w:hAnsi="宋体" w:eastAsia="宋体" w:cs="宋体"/>
                <w:kern w:val="0"/>
                <w:sz w:val="15"/>
                <w:szCs w:val="15"/>
              </w:rPr>
            </w:pPr>
          </w:p>
        </w:tc>
        <w:tc>
          <w:tcPr>
            <w:tcW w:w="127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5"/>
                <w:szCs w:val="15"/>
              </w:rPr>
            </w:pPr>
          </w:p>
        </w:tc>
        <w:tc>
          <w:tcPr>
            <w:tcW w:w="10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总额</w:t>
            </w:r>
          </w:p>
        </w:tc>
        <w:tc>
          <w:tcPr>
            <w:tcW w:w="99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财政拨款</w:t>
            </w:r>
          </w:p>
        </w:tc>
        <w:tc>
          <w:tcPr>
            <w:tcW w:w="50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其他资金</w:t>
            </w:r>
          </w:p>
        </w:tc>
        <w:tc>
          <w:tcPr>
            <w:tcW w:w="114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总额</w:t>
            </w:r>
          </w:p>
        </w:tc>
        <w:tc>
          <w:tcPr>
            <w:tcW w:w="98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财政拨款</w:t>
            </w:r>
          </w:p>
        </w:tc>
        <w:tc>
          <w:tcPr>
            <w:tcW w:w="1038"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其他资金</w:t>
            </w:r>
          </w:p>
        </w:tc>
      </w:tr>
      <w:tr>
        <w:tblPrEx>
          <w:tblCellMar>
            <w:top w:w="0" w:type="dxa"/>
            <w:left w:w="108" w:type="dxa"/>
            <w:bottom w:w="0" w:type="dxa"/>
            <w:right w:w="108" w:type="dxa"/>
          </w:tblCellMar>
        </w:tblPrEx>
        <w:trPr>
          <w:trHeight w:val="1524"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5"/>
                <w:szCs w:val="15"/>
              </w:rPr>
            </w:pPr>
          </w:p>
        </w:tc>
        <w:tc>
          <w:tcPr>
            <w:tcW w:w="736"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color w:val="000000"/>
                <w:kern w:val="0"/>
                <w:sz w:val="15"/>
                <w:szCs w:val="15"/>
                <w:u w:val="none"/>
                <w:lang w:val="en-US" w:eastAsia="zh-CN" w:bidi="ar"/>
              </w:rPr>
              <w:t>人员保障</w:t>
            </w:r>
          </w:p>
        </w:tc>
        <w:tc>
          <w:tcPr>
            <w:tcW w:w="1270" w:type="dxa"/>
            <w:gridSpan w:val="2"/>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color w:val="000000"/>
                <w:kern w:val="0"/>
                <w:sz w:val="15"/>
                <w:szCs w:val="15"/>
                <w:u w:val="none"/>
                <w:lang w:val="en-US" w:eastAsia="zh-CN" w:bidi="ar"/>
              </w:rPr>
              <w:t>用于保障部门单位人员发放工资福利支出及对个人和家庭补助</w:t>
            </w:r>
          </w:p>
        </w:tc>
        <w:tc>
          <w:tcPr>
            <w:tcW w:w="1000"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　3286.63</w:t>
            </w:r>
          </w:p>
        </w:tc>
        <w:tc>
          <w:tcPr>
            <w:tcW w:w="996"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3286.63</w:t>
            </w:r>
          </w:p>
        </w:tc>
        <w:tc>
          <w:tcPr>
            <w:tcW w:w="504"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5"/>
                <w:szCs w:val="15"/>
                <w:lang w:val="en-US" w:eastAsia="zh-CN"/>
              </w:rPr>
            </w:pPr>
            <w:r>
              <w:rPr>
                <w:rFonts w:hint="eastAsia" w:ascii="宋体" w:hAnsi="宋体" w:eastAsia="宋体" w:cs="宋体"/>
                <w:kern w:val="0"/>
                <w:sz w:val="15"/>
                <w:szCs w:val="15"/>
              </w:rPr>
              <w:t>　</w:t>
            </w:r>
            <w:r>
              <w:rPr>
                <w:rFonts w:hint="eastAsia" w:ascii="宋体" w:hAnsi="宋体" w:eastAsia="宋体" w:cs="宋体"/>
                <w:kern w:val="0"/>
                <w:sz w:val="15"/>
                <w:szCs w:val="15"/>
                <w:lang w:val="en-US" w:eastAsia="zh-CN"/>
              </w:rPr>
              <w:t>0</w:t>
            </w:r>
          </w:p>
        </w:tc>
        <w:tc>
          <w:tcPr>
            <w:tcW w:w="1140" w:type="dxa"/>
            <w:gridSpan w:val="2"/>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15"/>
                <w:szCs w:val="15"/>
                <w:lang w:val="en-US" w:eastAsia="zh-CN"/>
              </w:rPr>
            </w:pPr>
            <w:r>
              <w:rPr>
                <w:rFonts w:hint="eastAsia" w:ascii="宋体" w:hAnsi="宋体" w:eastAsia="宋体" w:cs="宋体"/>
                <w:kern w:val="0"/>
                <w:sz w:val="15"/>
                <w:szCs w:val="15"/>
              </w:rPr>
              <w:t>　3286.63</w:t>
            </w:r>
          </w:p>
        </w:tc>
        <w:tc>
          <w:tcPr>
            <w:tcW w:w="984"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5"/>
                <w:szCs w:val="15"/>
              </w:rPr>
              <w:t>3286.63</w:t>
            </w:r>
          </w:p>
        </w:tc>
        <w:tc>
          <w:tcPr>
            <w:tcW w:w="1038"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0</w:t>
            </w:r>
          </w:p>
        </w:tc>
      </w:tr>
      <w:tr>
        <w:tblPrEx>
          <w:tblCellMar>
            <w:top w:w="0" w:type="dxa"/>
            <w:left w:w="108" w:type="dxa"/>
            <w:bottom w:w="0" w:type="dxa"/>
            <w:right w:w="108" w:type="dxa"/>
          </w:tblCellMar>
        </w:tblPrEx>
        <w:trPr>
          <w:trHeight w:val="360"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5"/>
                <w:szCs w:val="15"/>
              </w:rPr>
            </w:pPr>
          </w:p>
        </w:tc>
        <w:tc>
          <w:tcPr>
            <w:tcW w:w="2006" w:type="dxa"/>
            <w:gridSpan w:val="3"/>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金额合计</w:t>
            </w:r>
          </w:p>
        </w:tc>
        <w:tc>
          <w:tcPr>
            <w:tcW w:w="100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　3286.63</w:t>
            </w:r>
          </w:p>
        </w:tc>
        <w:tc>
          <w:tcPr>
            <w:tcW w:w="996"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3286.63</w:t>
            </w:r>
          </w:p>
        </w:tc>
        <w:tc>
          <w:tcPr>
            <w:tcW w:w="504"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lang w:val="en-US" w:eastAsia="zh-CN"/>
              </w:rPr>
              <w:t>0</w:t>
            </w:r>
          </w:p>
        </w:tc>
        <w:tc>
          <w:tcPr>
            <w:tcW w:w="11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　3286.63</w:t>
            </w:r>
          </w:p>
        </w:tc>
        <w:tc>
          <w:tcPr>
            <w:tcW w:w="9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kern w:val="0"/>
                <w:sz w:val="15"/>
                <w:szCs w:val="15"/>
              </w:rPr>
              <w:t>3286.63</w:t>
            </w:r>
          </w:p>
        </w:tc>
        <w:tc>
          <w:tcPr>
            <w:tcW w:w="1038"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kern w:val="0"/>
                <w:sz w:val="18"/>
                <w:szCs w:val="18"/>
              </w:rPr>
              <w:t>　</w:t>
            </w:r>
            <w:r>
              <w:rPr>
                <w:rFonts w:hint="eastAsia" w:ascii="宋体" w:hAnsi="宋体" w:eastAsia="宋体" w:cs="宋体"/>
                <w:kern w:val="0"/>
                <w:sz w:val="18"/>
                <w:szCs w:val="18"/>
                <w:lang w:val="en-US" w:eastAsia="zh-CN"/>
              </w:rPr>
              <w:t>0</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　</w:t>
            </w:r>
          </w:p>
        </w:tc>
        <w:tc>
          <w:tcPr>
            <w:tcW w:w="3006" w:type="dxa"/>
            <w:gridSpan w:val="5"/>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预期目标</w:t>
            </w:r>
          </w:p>
        </w:tc>
        <w:tc>
          <w:tcPr>
            <w:tcW w:w="4662" w:type="dxa"/>
            <w:gridSpan w:val="10"/>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实际完成目标</w:t>
            </w:r>
          </w:p>
        </w:tc>
      </w:tr>
      <w:tr>
        <w:tblPrEx>
          <w:tblCellMar>
            <w:top w:w="0" w:type="dxa"/>
            <w:left w:w="108" w:type="dxa"/>
            <w:bottom w:w="0" w:type="dxa"/>
            <w:right w:w="108" w:type="dxa"/>
          </w:tblCellMar>
        </w:tblPrEx>
        <w:trPr>
          <w:trHeight w:val="135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5"/>
                <w:szCs w:val="15"/>
              </w:rPr>
            </w:pPr>
            <w:r>
              <w:rPr>
                <w:rFonts w:hint="eastAsia" w:ascii="宋体" w:hAnsi="宋体" w:eastAsia="宋体" w:cs="宋体"/>
                <w:kern w:val="0"/>
                <w:sz w:val="15"/>
                <w:szCs w:val="15"/>
              </w:rPr>
              <w:t>年度</w:t>
            </w:r>
            <w:r>
              <w:rPr>
                <w:rFonts w:hint="eastAsia" w:ascii="宋体" w:hAnsi="宋体" w:eastAsia="宋体" w:cs="宋体"/>
                <w:kern w:val="0"/>
                <w:sz w:val="15"/>
                <w:szCs w:val="15"/>
              </w:rPr>
              <w:br w:type="textWrapping"/>
            </w:r>
            <w:r>
              <w:rPr>
                <w:rFonts w:hint="eastAsia" w:ascii="宋体" w:hAnsi="宋体" w:eastAsia="宋体" w:cs="宋体"/>
                <w:kern w:val="0"/>
                <w:sz w:val="15"/>
                <w:szCs w:val="15"/>
              </w:rPr>
              <w:t>总体</w:t>
            </w:r>
            <w:r>
              <w:rPr>
                <w:rFonts w:hint="eastAsia" w:ascii="宋体" w:hAnsi="宋体" w:eastAsia="宋体" w:cs="宋体"/>
                <w:kern w:val="0"/>
                <w:sz w:val="15"/>
                <w:szCs w:val="15"/>
              </w:rPr>
              <w:br w:type="textWrapping"/>
            </w:r>
            <w:r>
              <w:rPr>
                <w:rFonts w:hint="eastAsia" w:ascii="宋体" w:hAnsi="宋体" w:eastAsia="宋体" w:cs="宋体"/>
                <w:kern w:val="0"/>
                <w:sz w:val="15"/>
                <w:szCs w:val="15"/>
              </w:rPr>
              <w:t>目标</w:t>
            </w:r>
          </w:p>
        </w:tc>
        <w:tc>
          <w:tcPr>
            <w:tcW w:w="3006" w:type="dxa"/>
            <w:gridSpan w:val="5"/>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rPr>
              <w:t>目标1：确保人员经费的合理分配。目标2：完成每年教学任务。目标3：全面推进各类教师能力提升培训，加强教师队伍建设；目标4：做好教育教学管理工作</w:t>
            </w:r>
            <w:r>
              <w:rPr>
                <w:rFonts w:hint="eastAsia" w:ascii="宋体" w:hAnsi="宋体" w:eastAsia="宋体" w:cs="宋体"/>
                <w:kern w:val="0"/>
                <w:sz w:val="15"/>
                <w:szCs w:val="15"/>
                <w:lang w:eastAsia="zh-CN"/>
              </w:rPr>
              <w:t>。</w:t>
            </w:r>
          </w:p>
        </w:tc>
        <w:tc>
          <w:tcPr>
            <w:tcW w:w="4662" w:type="dxa"/>
            <w:gridSpan w:val="10"/>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15"/>
                <w:szCs w:val="15"/>
              </w:rPr>
            </w:pPr>
          </w:p>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目标1：确保人员经费的合理分配。目标2：完成每年教学任务。目标3：全面推进各类教师能力提升培训，加强教师队伍建设；目标4：做好教育教学管理工作</w:t>
            </w:r>
            <w:r>
              <w:rPr>
                <w:rFonts w:hint="eastAsia" w:ascii="宋体" w:hAnsi="宋体" w:eastAsia="宋体" w:cs="宋体"/>
                <w:kern w:val="0"/>
                <w:sz w:val="15"/>
                <w:szCs w:val="15"/>
                <w:lang w:eastAsia="zh-CN"/>
              </w:rPr>
              <w:t>。</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年</w:t>
            </w:r>
            <w:r>
              <w:rPr>
                <w:rFonts w:hint="eastAsia" w:ascii="宋体" w:hAnsi="宋体" w:eastAsia="宋体" w:cs="宋体"/>
                <w:kern w:val="0"/>
                <w:sz w:val="15"/>
                <w:szCs w:val="15"/>
              </w:rPr>
              <w:br w:type="textWrapping"/>
            </w:r>
            <w:r>
              <w:rPr>
                <w:rFonts w:hint="eastAsia" w:ascii="宋体" w:hAnsi="宋体" w:eastAsia="宋体" w:cs="宋体"/>
                <w:kern w:val="0"/>
                <w:sz w:val="15"/>
                <w:szCs w:val="15"/>
              </w:rPr>
              <w:t>度</w:t>
            </w:r>
            <w:r>
              <w:rPr>
                <w:rFonts w:hint="eastAsia" w:ascii="宋体" w:hAnsi="宋体" w:eastAsia="宋体" w:cs="宋体"/>
                <w:kern w:val="0"/>
                <w:sz w:val="15"/>
                <w:szCs w:val="15"/>
              </w:rPr>
              <w:br w:type="textWrapping"/>
            </w:r>
            <w:r>
              <w:rPr>
                <w:rFonts w:hint="eastAsia" w:ascii="宋体" w:hAnsi="宋体" w:eastAsia="宋体" w:cs="宋体"/>
                <w:kern w:val="0"/>
                <w:sz w:val="15"/>
                <w:szCs w:val="15"/>
              </w:rPr>
              <w:t>绩</w:t>
            </w:r>
            <w:r>
              <w:rPr>
                <w:rFonts w:hint="eastAsia" w:ascii="宋体" w:hAnsi="宋体" w:eastAsia="宋体" w:cs="宋体"/>
                <w:kern w:val="0"/>
                <w:sz w:val="15"/>
                <w:szCs w:val="15"/>
              </w:rPr>
              <w:br w:type="textWrapping"/>
            </w:r>
            <w:r>
              <w:rPr>
                <w:rFonts w:hint="eastAsia" w:ascii="宋体" w:hAnsi="宋体" w:eastAsia="宋体" w:cs="宋体"/>
                <w:kern w:val="0"/>
                <w:sz w:val="15"/>
                <w:szCs w:val="15"/>
              </w:rPr>
              <w:t>效</w:t>
            </w:r>
            <w:r>
              <w:rPr>
                <w:rFonts w:hint="eastAsia" w:ascii="宋体" w:hAnsi="宋体" w:eastAsia="宋体" w:cs="宋体"/>
                <w:kern w:val="0"/>
                <w:sz w:val="15"/>
                <w:szCs w:val="15"/>
              </w:rPr>
              <w:br w:type="textWrapping"/>
            </w:r>
            <w:r>
              <w:rPr>
                <w:rFonts w:hint="eastAsia" w:ascii="宋体" w:hAnsi="宋体" w:eastAsia="宋体" w:cs="宋体"/>
                <w:kern w:val="0"/>
                <w:sz w:val="15"/>
                <w:szCs w:val="15"/>
              </w:rPr>
              <w:t>指</w:t>
            </w:r>
            <w:r>
              <w:rPr>
                <w:rFonts w:hint="eastAsia" w:ascii="宋体" w:hAnsi="宋体" w:eastAsia="宋体" w:cs="宋体"/>
                <w:kern w:val="0"/>
                <w:sz w:val="15"/>
                <w:szCs w:val="15"/>
              </w:rPr>
              <w:br w:type="textWrapping"/>
            </w:r>
            <w:r>
              <w:rPr>
                <w:rFonts w:hint="eastAsia" w:ascii="宋体" w:hAnsi="宋体" w:eastAsia="宋体" w:cs="宋体"/>
                <w:kern w:val="0"/>
                <w:sz w:val="15"/>
                <w:szCs w:val="15"/>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一级指标</w:t>
            </w:r>
          </w:p>
        </w:tc>
        <w:tc>
          <w:tcPr>
            <w:tcW w:w="127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二级指标</w:t>
            </w:r>
          </w:p>
        </w:tc>
        <w:tc>
          <w:tcPr>
            <w:tcW w:w="199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三级指标</w:t>
            </w:r>
          </w:p>
        </w:tc>
        <w:tc>
          <w:tcPr>
            <w:tcW w:w="164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预期指标值（包含数字及文字描述）</w:t>
            </w:r>
          </w:p>
        </w:tc>
        <w:tc>
          <w:tcPr>
            <w:tcW w:w="202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完成指标</w:t>
            </w:r>
          </w:p>
        </w:tc>
        <w:tc>
          <w:tcPr>
            <w:tcW w:w="1270"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数量指标</w:t>
            </w: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在职人员数</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=303人</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kern w:val="0"/>
                <w:sz w:val="15"/>
                <w:szCs w:val="15"/>
              </w:rPr>
              <w:t>303人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continue"/>
            <w:tcBorders>
              <w:left w:val="single" w:color="auto" w:sz="4" w:space="0"/>
              <w:right w:val="single" w:color="000000" w:sz="4" w:space="0"/>
            </w:tcBorders>
            <w:vAlign w:val="center"/>
          </w:tcPr>
          <w:p>
            <w:pPr>
              <w:widowControl/>
              <w:jc w:val="left"/>
              <w:rPr>
                <w:rFonts w:ascii="宋体" w:hAnsi="宋体" w:eastAsia="宋体" w:cs="宋体"/>
                <w:kern w:val="0"/>
                <w:sz w:val="15"/>
                <w:szCs w:val="15"/>
              </w:rPr>
            </w:pP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退休人员数</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=62人</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kern w:val="0"/>
                <w:sz w:val="15"/>
                <w:szCs w:val="15"/>
              </w:rPr>
              <w:t>62人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continue"/>
            <w:tcBorders>
              <w:left w:val="single" w:color="auto" w:sz="4" w:space="0"/>
              <w:right w:val="single" w:color="000000" w:sz="4" w:space="0"/>
            </w:tcBorders>
            <w:vAlign w:val="center"/>
          </w:tcPr>
          <w:p>
            <w:pPr>
              <w:widowControl/>
              <w:jc w:val="left"/>
              <w:rPr>
                <w:rFonts w:ascii="宋体" w:hAnsi="宋体" w:eastAsia="宋体" w:cs="宋体"/>
                <w:kern w:val="0"/>
                <w:sz w:val="15"/>
                <w:szCs w:val="15"/>
              </w:rPr>
            </w:pP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遗属补助人数</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=13人</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kern w:val="0"/>
                <w:sz w:val="15"/>
                <w:szCs w:val="15"/>
              </w:rPr>
              <w:t>13人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continue"/>
            <w:tcBorders>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5"/>
                <w:szCs w:val="15"/>
              </w:rPr>
            </w:pP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hint="eastAsia" w:ascii="宋体" w:hAnsi="宋体" w:eastAsia="宋体" w:cs="宋体"/>
                <w:kern w:val="0"/>
                <w:sz w:val="15"/>
                <w:szCs w:val="15"/>
              </w:rPr>
            </w:pPr>
            <w:r>
              <w:rPr>
                <w:rFonts w:hint="eastAsia" w:ascii="宋体" w:hAnsi="宋体" w:eastAsia="宋体" w:cs="宋体"/>
                <w:kern w:val="0"/>
                <w:sz w:val="15"/>
                <w:szCs w:val="15"/>
              </w:rPr>
              <w:t>编制人数</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=2</w:t>
            </w:r>
            <w:r>
              <w:rPr>
                <w:rFonts w:hint="eastAsia" w:ascii="宋体" w:hAnsi="宋体" w:eastAsia="宋体" w:cs="宋体"/>
                <w:kern w:val="0"/>
                <w:sz w:val="15"/>
                <w:szCs w:val="15"/>
                <w:lang w:val="en-US" w:eastAsia="zh-CN"/>
              </w:rPr>
              <w:t>06</w:t>
            </w:r>
            <w:r>
              <w:rPr>
                <w:rFonts w:hint="eastAsia" w:ascii="宋体" w:hAnsi="宋体" w:eastAsia="宋体" w:cs="宋体"/>
                <w:kern w:val="0"/>
                <w:sz w:val="15"/>
                <w:szCs w:val="15"/>
              </w:rPr>
              <w:t>人</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kern w:val="0"/>
                <w:sz w:val="15"/>
                <w:szCs w:val="15"/>
              </w:rPr>
              <w:t>2</w:t>
            </w:r>
            <w:r>
              <w:rPr>
                <w:rFonts w:hint="eastAsia" w:ascii="宋体" w:hAnsi="宋体" w:eastAsia="宋体" w:cs="宋体"/>
                <w:kern w:val="0"/>
                <w:sz w:val="15"/>
                <w:szCs w:val="15"/>
                <w:lang w:val="en-US" w:eastAsia="zh-CN"/>
              </w:rPr>
              <w:t>06</w:t>
            </w:r>
            <w:r>
              <w:rPr>
                <w:rFonts w:hint="eastAsia" w:ascii="宋体" w:hAnsi="宋体" w:eastAsia="宋体" w:cs="宋体"/>
                <w:kern w:val="0"/>
                <w:sz w:val="15"/>
                <w:szCs w:val="15"/>
              </w:rPr>
              <w:t>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质量指标</w:t>
            </w: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工资及公用经费保障率</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=100%</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kern w:val="0"/>
                <w:sz w:val="15"/>
                <w:szCs w:val="15"/>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时效指标</w:t>
            </w: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资金发放及时性</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=100%</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kern w:val="0"/>
                <w:sz w:val="15"/>
                <w:szCs w:val="15"/>
              </w:rPr>
              <w:t>100%</w:t>
            </w:r>
          </w:p>
        </w:tc>
      </w:tr>
      <w:tr>
        <w:tblPrEx>
          <w:tblCellMar>
            <w:top w:w="0" w:type="dxa"/>
            <w:left w:w="108" w:type="dxa"/>
            <w:bottom w:w="0" w:type="dxa"/>
            <w:right w:w="108" w:type="dxa"/>
          </w:tblCellMar>
        </w:tblPrEx>
        <w:trPr>
          <w:trHeight w:val="552"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成本指标</w:t>
            </w: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在职人员工资，社保，住房</w:t>
            </w:r>
          </w:p>
        </w:tc>
        <w:tc>
          <w:tcPr>
            <w:tcW w:w="1644" w:type="dxa"/>
            <w:gridSpan w:val="4"/>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≤10.8万元/人/年</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kern w:val="0"/>
                <w:sz w:val="15"/>
                <w:szCs w:val="15"/>
              </w:rPr>
              <w:t>10.8万元/人/年</w:t>
            </w:r>
          </w:p>
        </w:tc>
      </w:tr>
      <w:tr>
        <w:tblPrEx>
          <w:tblCellMar>
            <w:top w:w="0" w:type="dxa"/>
            <w:left w:w="108" w:type="dxa"/>
            <w:bottom w:w="0" w:type="dxa"/>
            <w:right w:w="108" w:type="dxa"/>
          </w:tblCellMar>
        </w:tblPrEx>
        <w:trPr>
          <w:trHeight w:val="346"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continue"/>
            <w:tcBorders>
              <w:left w:val="single" w:color="auto" w:sz="4" w:space="0"/>
              <w:right w:val="single" w:color="000000" w:sz="4" w:space="0"/>
            </w:tcBorders>
            <w:vAlign w:val="center"/>
          </w:tcPr>
          <w:p>
            <w:pPr>
              <w:widowControl/>
              <w:jc w:val="left"/>
              <w:rPr>
                <w:rFonts w:ascii="宋体" w:hAnsi="宋体" w:eastAsia="宋体" w:cs="宋体"/>
                <w:kern w:val="0"/>
                <w:sz w:val="15"/>
                <w:szCs w:val="15"/>
              </w:rPr>
            </w:pP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退休人员计生奖励</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≤0.1314万元/人/年</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kern w:val="0"/>
                <w:sz w:val="15"/>
                <w:szCs w:val="15"/>
              </w:rPr>
              <w:t>0.1314万元/人/年</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continue"/>
            <w:tcBorders>
              <w:left w:val="single" w:color="auto" w:sz="4" w:space="0"/>
              <w:right w:val="single" w:color="000000" w:sz="4" w:space="0"/>
            </w:tcBorders>
            <w:vAlign w:val="center"/>
          </w:tcPr>
          <w:p>
            <w:pPr>
              <w:widowControl/>
              <w:jc w:val="left"/>
              <w:rPr>
                <w:rFonts w:ascii="宋体" w:hAnsi="宋体" w:eastAsia="宋体" w:cs="宋体"/>
                <w:kern w:val="0"/>
                <w:sz w:val="15"/>
                <w:szCs w:val="15"/>
              </w:rPr>
            </w:pP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取暖费</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≤0.13万元/人/年</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kern w:val="0"/>
                <w:sz w:val="15"/>
                <w:szCs w:val="15"/>
              </w:rPr>
              <w:t>0.13万元/人/年</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continue"/>
            <w:tcBorders>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5"/>
                <w:szCs w:val="15"/>
              </w:rPr>
            </w:pP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hint="eastAsia" w:ascii="宋体" w:hAnsi="宋体" w:eastAsia="宋体" w:cs="宋体"/>
                <w:kern w:val="0"/>
                <w:sz w:val="15"/>
                <w:szCs w:val="15"/>
              </w:rPr>
            </w:pPr>
            <w:r>
              <w:rPr>
                <w:rFonts w:hint="eastAsia" w:ascii="宋体" w:hAnsi="宋体" w:eastAsia="宋体" w:cs="宋体"/>
                <w:kern w:val="0"/>
                <w:sz w:val="15"/>
                <w:szCs w:val="15"/>
              </w:rPr>
              <w:t>遗属补助人数</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≤0.444万元/人/年</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kern w:val="0"/>
                <w:sz w:val="15"/>
                <w:szCs w:val="15"/>
              </w:rPr>
              <w:t>0.444万元/人/年</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社会效益</w:t>
            </w:r>
            <w:r>
              <w:rPr>
                <w:rFonts w:hint="eastAsia" w:ascii="宋体" w:hAnsi="宋体" w:eastAsia="宋体" w:cs="宋体"/>
                <w:kern w:val="0"/>
                <w:sz w:val="15"/>
                <w:szCs w:val="15"/>
              </w:rPr>
              <w:br w:type="textWrapping"/>
            </w:r>
            <w:r>
              <w:rPr>
                <w:rFonts w:hint="eastAsia" w:ascii="宋体" w:hAnsi="宋体" w:eastAsia="宋体" w:cs="宋体"/>
                <w:kern w:val="0"/>
                <w:sz w:val="15"/>
                <w:szCs w:val="15"/>
              </w:rPr>
              <w:t>指标</w:t>
            </w: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保证教学任务及时完成</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　有效保证</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　有效保证</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5"/>
                <w:szCs w:val="15"/>
              </w:rPr>
            </w:pP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保证教师队伍稳定</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　有效保证</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　有效保证</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满意度</w:t>
            </w:r>
            <w:r>
              <w:rPr>
                <w:rFonts w:hint="eastAsia" w:ascii="宋体" w:hAnsi="宋体" w:eastAsia="宋体" w:cs="宋体"/>
                <w:kern w:val="0"/>
                <w:sz w:val="15"/>
                <w:szCs w:val="15"/>
              </w:rPr>
              <w:br w:type="textWrapping"/>
            </w:r>
            <w:r>
              <w:rPr>
                <w:rFonts w:hint="eastAsia" w:ascii="宋体" w:hAnsi="宋体" w:eastAsia="宋体" w:cs="宋体"/>
                <w:kern w:val="0"/>
                <w:sz w:val="15"/>
                <w:szCs w:val="15"/>
              </w:rPr>
              <w:t>指标</w:t>
            </w:r>
          </w:p>
        </w:tc>
        <w:tc>
          <w:tcPr>
            <w:tcW w:w="127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5"/>
                <w:szCs w:val="15"/>
              </w:rPr>
            </w:pPr>
            <w:r>
              <w:rPr>
                <w:rFonts w:hint="eastAsia" w:ascii="宋体" w:hAnsi="宋体" w:eastAsia="宋体" w:cs="宋体"/>
                <w:kern w:val="0"/>
                <w:sz w:val="15"/>
                <w:szCs w:val="15"/>
              </w:rPr>
              <w:t>满意度指标</w:t>
            </w: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教师满意度</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　≥95%</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95%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5"/>
                <w:szCs w:val="15"/>
              </w:rPr>
            </w:pPr>
          </w:p>
        </w:tc>
        <w:tc>
          <w:tcPr>
            <w:tcW w:w="7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5"/>
                <w:szCs w:val="15"/>
              </w:rPr>
            </w:pPr>
          </w:p>
        </w:tc>
        <w:tc>
          <w:tcPr>
            <w:tcW w:w="127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5"/>
                <w:szCs w:val="15"/>
              </w:rPr>
            </w:pPr>
          </w:p>
        </w:tc>
        <w:tc>
          <w:tcPr>
            <w:tcW w:w="1996" w:type="dxa"/>
            <w:gridSpan w:val="4"/>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15"/>
                <w:szCs w:val="15"/>
              </w:rPr>
            </w:pPr>
            <w:r>
              <w:rPr>
                <w:rFonts w:hint="eastAsia" w:ascii="宋体" w:hAnsi="宋体" w:eastAsia="宋体" w:cs="宋体"/>
                <w:kern w:val="0"/>
                <w:sz w:val="15"/>
                <w:szCs w:val="15"/>
              </w:rPr>
              <w:t>退休教师满意度</w:t>
            </w:r>
          </w:p>
        </w:tc>
        <w:tc>
          <w:tcPr>
            <w:tcW w:w="16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15"/>
                <w:szCs w:val="15"/>
              </w:rPr>
            </w:pPr>
            <w:r>
              <w:rPr>
                <w:rFonts w:hint="eastAsia" w:ascii="宋体" w:hAnsi="宋体" w:eastAsia="宋体" w:cs="宋体"/>
                <w:kern w:val="0"/>
                <w:sz w:val="15"/>
                <w:szCs w:val="15"/>
              </w:rPr>
              <w:t>　≥95%</w:t>
            </w:r>
          </w:p>
        </w:tc>
        <w:tc>
          <w:tcPr>
            <w:tcW w:w="2022"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eastAsia="宋体" w:cs="宋体"/>
                <w:kern w:val="0"/>
                <w:sz w:val="15"/>
                <w:szCs w:val="15"/>
              </w:rPr>
            </w:pPr>
            <w:r>
              <w:rPr>
                <w:rFonts w:hint="eastAsia" w:ascii="宋体" w:hAnsi="宋体" w:eastAsia="宋体" w:cs="宋体"/>
                <w:kern w:val="0"/>
                <w:sz w:val="15"/>
                <w:szCs w:val="15"/>
              </w:rPr>
              <w:t>95%　</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abstractNum w:abstractNumId="1">
    <w:nsid w:val="5F542E0E"/>
    <w:multiLevelType w:val="singleLevel"/>
    <w:tmpl w:val="5F542E0E"/>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33F60C6"/>
    <w:rsid w:val="037C0FF3"/>
    <w:rsid w:val="058628FE"/>
    <w:rsid w:val="072E2113"/>
    <w:rsid w:val="0A5E77BE"/>
    <w:rsid w:val="0BF86D80"/>
    <w:rsid w:val="0E9A5E97"/>
    <w:rsid w:val="0FD37E50"/>
    <w:rsid w:val="104C3557"/>
    <w:rsid w:val="17C529E4"/>
    <w:rsid w:val="1EB60E4D"/>
    <w:rsid w:val="22091B73"/>
    <w:rsid w:val="272D4871"/>
    <w:rsid w:val="2D97709D"/>
    <w:rsid w:val="2E406033"/>
    <w:rsid w:val="303565B5"/>
    <w:rsid w:val="30500501"/>
    <w:rsid w:val="307E3270"/>
    <w:rsid w:val="32EB3D34"/>
    <w:rsid w:val="409000AA"/>
    <w:rsid w:val="41214172"/>
    <w:rsid w:val="450B2281"/>
    <w:rsid w:val="48D16973"/>
    <w:rsid w:val="59FF515E"/>
    <w:rsid w:val="5D7F1827"/>
    <w:rsid w:val="5E3D6CB9"/>
    <w:rsid w:val="72E03B9F"/>
    <w:rsid w:val="7BF605C7"/>
    <w:rsid w:val="7EF34E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6561</Words>
  <Characters>7116</Characters>
  <Lines>72</Lines>
  <Paragraphs>20</Paragraphs>
  <TotalTime>4</TotalTime>
  <ScaleCrop>false</ScaleCrop>
  <LinksUpToDate>false</LinksUpToDate>
  <CharactersWithSpaces>7190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2022-05-26T05:00:05Z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